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B45" w:rsidRDefault="00E84A8E" w:rsidP="006F09A6">
      <w:pPr>
        <w:pStyle w:val="Heading3"/>
        <w:rPr>
          <w:rFonts w:cs="Arial"/>
          <w:i w:val="0"/>
          <w:u w:val="none"/>
        </w:rPr>
      </w:pPr>
      <w:r w:rsidRPr="00E84A8E">
        <w:rPr>
          <w:rFonts w:cs="Arial"/>
          <w:i w:val="0"/>
          <w:noProof/>
          <w:u w:val="none"/>
          <w:lang w:val="en-US" w:eastAsia="zh-TW"/>
        </w:rPr>
        <w:pict>
          <v:shapetype id="_x0000_t202" coordsize="21600,21600" o:spt="202" path="m,l,21600r21600,l21600,xe">
            <v:stroke joinstyle="miter"/>
            <v:path gradientshapeok="t" o:connecttype="rect"/>
          </v:shapetype>
          <v:shape id="_x0000_s1026" type="#_x0000_t202" style="position:absolute;margin-left:388.8pt;margin-top:-38.25pt;width:106.2pt;height:24.75pt;z-index:251660288;mso-width-relative:margin;mso-height-relative:margin" strokecolor="white [3212]">
            <v:textbox>
              <w:txbxContent>
                <w:p w:rsidR="00E84A8E" w:rsidRPr="00E84A8E" w:rsidRDefault="00E84A8E">
                  <w:pPr>
                    <w:rPr>
                      <w:b/>
                    </w:rPr>
                  </w:pPr>
                  <w:r w:rsidRPr="00E84A8E">
                    <w:rPr>
                      <w:b/>
                    </w:rPr>
                    <w:t>Appendix 'A'</w:t>
                  </w:r>
                </w:p>
              </w:txbxContent>
            </v:textbox>
          </v:shape>
        </w:pict>
      </w:r>
      <w:r w:rsidR="00075B45">
        <w:rPr>
          <w:rFonts w:cs="Arial"/>
          <w:i w:val="0"/>
          <w:u w:val="none"/>
        </w:rPr>
        <w:t>Lancashire County Pension Fund</w:t>
      </w:r>
    </w:p>
    <w:p w:rsidR="00075B45" w:rsidRPr="00075B45" w:rsidRDefault="00075B45" w:rsidP="00075B45">
      <w:pPr>
        <w:rPr>
          <w:lang w:eastAsia="en-US"/>
        </w:rPr>
      </w:pPr>
    </w:p>
    <w:p w:rsidR="006F09A6" w:rsidRPr="008C7F7C" w:rsidRDefault="006F09A6" w:rsidP="006F09A6">
      <w:pPr>
        <w:pStyle w:val="Heading3"/>
        <w:rPr>
          <w:i w:val="0"/>
          <w:sz w:val="16"/>
          <w:u w:val="none"/>
        </w:rPr>
      </w:pPr>
      <w:r w:rsidRPr="008C7F7C">
        <w:rPr>
          <w:rFonts w:cs="Arial"/>
          <w:i w:val="0"/>
          <w:u w:val="none"/>
        </w:rPr>
        <w:t xml:space="preserve">Statement of Investment Principles </w:t>
      </w:r>
    </w:p>
    <w:p w:rsidR="006F09A6" w:rsidRPr="008C7F7C" w:rsidRDefault="006F09A6" w:rsidP="006F09A6">
      <w:pPr>
        <w:rPr>
          <w:rFonts w:cs="Arial"/>
          <w:sz w:val="16"/>
        </w:rPr>
      </w:pPr>
    </w:p>
    <w:p w:rsidR="006F09A6" w:rsidRDefault="006F09A6" w:rsidP="006F09A6">
      <w:pPr>
        <w:pStyle w:val="Heading4"/>
        <w:rPr>
          <w:rFonts w:cs="Arial"/>
          <w:u w:val="none"/>
        </w:rPr>
      </w:pPr>
      <w:r w:rsidRPr="008C7F7C">
        <w:rPr>
          <w:rFonts w:cs="Arial"/>
          <w:u w:val="none"/>
        </w:rPr>
        <w:t>Introduction</w:t>
      </w:r>
    </w:p>
    <w:p w:rsidR="00F624AB" w:rsidRDefault="00F624AB" w:rsidP="006D2713">
      <w:pPr>
        <w:rPr>
          <w:lang w:eastAsia="en-US"/>
        </w:rPr>
      </w:pPr>
    </w:p>
    <w:p w:rsidR="00F624AB" w:rsidRPr="006D2713" w:rsidRDefault="00F624AB" w:rsidP="006D2713">
      <w:pPr>
        <w:rPr>
          <w:lang w:eastAsia="en-US"/>
        </w:rPr>
      </w:pPr>
      <w:r>
        <w:rPr>
          <w:lang w:eastAsia="en-US"/>
        </w:rPr>
        <w:t>Lancashire County Council (“LCC”) is the administering authority of the Lancashire County Pension Fund (the “Fund”).  This Statement of Investment Principles (“SIP”) sets out the principles governing its decisions about investments made by the Fund</w:t>
      </w:r>
      <w:r w:rsidR="00FA707B">
        <w:rPr>
          <w:lang w:eastAsia="en-US"/>
        </w:rPr>
        <w:t xml:space="preserve"> It </w:t>
      </w:r>
      <w:r w:rsidR="00FA707B" w:rsidRPr="006D2713">
        <w:rPr>
          <w:lang w:eastAsia="en-US"/>
        </w:rPr>
        <w:t>has been prepared in accordance with the Local Government Pension Scheme (Management and Investment of Funds) Regulations 2009</w:t>
      </w:r>
      <w:r w:rsidR="00FA707B">
        <w:rPr>
          <w:i/>
          <w:iCs/>
          <w:color w:val="000000"/>
          <w:sz w:val="22"/>
          <w:szCs w:val="22"/>
        </w:rPr>
        <w:t xml:space="preserve">.   </w:t>
      </w:r>
      <w:r w:rsidR="00FA707B">
        <w:rPr>
          <w:lang w:eastAsia="en-US"/>
        </w:rPr>
        <w:t xml:space="preserve"> </w:t>
      </w:r>
    </w:p>
    <w:p w:rsidR="006F09A6" w:rsidRPr="008C7F7C" w:rsidRDefault="006F09A6" w:rsidP="006F09A6">
      <w:pPr>
        <w:rPr>
          <w:rFonts w:cs="Arial"/>
          <w:sz w:val="20"/>
        </w:rPr>
      </w:pPr>
    </w:p>
    <w:p w:rsidR="00A86B4C" w:rsidRDefault="006F09A6" w:rsidP="006F09A6">
      <w:pPr>
        <w:rPr>
          <w:rFonts w:cs="Arial"/>
        </w:rPr>
      </w:pPr>
      <w:r w:rsidRPr="008C7F7C">
        <w:rPr>
          <w:rFonts w:cs="Arial"/>
        </w:rPr>
        <w:t xml:space="preserve">The Fund has produced the SIP following consultation with the Fund’s Investment Panel, and a representative of the Fund’s Actuary. </w:t>
      </w:r>
    </w:p>
    <w:p w:rsidR="006F09A6" w:rsidRPr="00F332F8" w:rsidRDefault="006F09A6" w:rsidP="006F09A6">
      <w:pPr>
        <w:rPr>
          <w:rFonts w:cs="Arial"/>
          <w:sz w:val="20"/>
          <w:highlight w:val="yellow"/>
        </w:rPr>
      </w:pPr>
      <w:r w:rsidRPr="008C7F7C">
        <w:rPr>
          <w:rFonts w:cs="Arial"/>
        </w:rPr>
        <w:t xml:space="preserve"> </w:t>
      </w:r>
    </w:p>
    <w:p w:rsidR="006F09A6" w:rsidRPr="008C7F7C" w:rsidRDefault="006F09A6" w:rsidP="006F09A6">
      <w:pPr>
        <w:pStyle w:val="Heading4"/>
        <w:rPr>
          <w:rFonts w:cs="Arial"/>
          <w:u w:val="none"/>
        </w:rPr>
      </w:pPr>
      <w:r w:rsidRPr="008C7F7C">
        <w:rPr>
          <w:rFonts w:cs="Arial"/>
          <w:u w:val="none"/>
        </w:rPr>
        <w:t>Responsibility for Investment Management</w:t>
      </w:r>
    </w:p>
    <w:p w:rsidR="006F09A6" w:rsidRPr="008C7F7C" w:rsidRDefault="006F09A6" w:rsidP="006F09A6">
      <w:pPr>
        <w:rPr>
          <w:rFonts w:cs="Arial"/>
          <w:sz w:val="20"/>
        </w:rPr>
      </w:pPr>
    </w:p>
    <w:p w:rsidR="006F09A6" w:rsidRPr="008C7F7C" w:rsidRDefault="006F09A6" w:rsidP="006F09A6">
      <w:r w:rsidRPr="008C7F7C">
        <w:rPr>
          <w:rFonts w:cs="Arial"/>
        </w:rPr>
        <w:t>Lancashire County Council is responsible for administering the Fund under the Pension Scheme regulations 1997 (as amended).</w:t>
      </w:r>
      <w:r w:rsidR="009F6564">
        <w:rPr>
          <w:rFonts w:cs="Arial"/>
        </w:rPr>
        <w:t xml:space="preserve"> </w:t>
      </w:r>
      <w:r w:rsidRPr="008C7F7C">
        <w:rPr>
          <w:rFonts w:cs="Arial"/>
        </w:rPr>
        <w:t>It delegates</w:t>
      </w:r>
      <w:r w:rsidR="00FA707B">
        <w:rPr>
          <w:rFonts w:cs="Arial"/>
        </w:rPr>
        <w:t xml:space="preserve"> its</w:t>
      </w:r>
      <w:r w:rsidRPr="008C7F7C">
        <w:rPr>
          <w:rFonts w:cs="Arial"/>
        </w:rPr>
        <w:t xml:space="preserve"> responsibilities to:</w:t>
      </w:r>
    </w:p>
    <w:p w:rsidR="006F09A6" w:rsidRPr="008C7F7C" w:rsidRDefault="006F09A6" w:rsidP="006F09A6">
      <w:pPr>
        <w:rPr>
          <w:rFonts w:cs="Arial"/>
          <w:sz w:val="20"/>
        </w:rPr>
      </w:pPr>
    </w:p>
    <w:p w:rsidR="006F09A6" w:rsidRPr="008C7F7C" w:rsidRDefault="006F09A6" w:rsidP="006F09A6">
      <w:pPr>
        <w:numPr>
          <w:ilvl w:val="0"/>
          <w:numId w:val="2"/>
        </w:numPr>
      </w:pPr>
      <w:r w:rsidRPr="008C7F7C">
        <w:t>The Pension Fund Committee</w:t>
      </w:r>
      <w:r w:rsidR="00D401D5">
        <w:t>;</w:t>
      </w:r>
      <w:r w:rsidRPr="008C7F7C">
        <w:t xml:space="preserve"> </w:t>
      </w:r>
    </w:p>
    <w:p w:rsidR="006F09A6" w:rsidRPr="008C7F7C" w:rsidRDefault="006F09A6" w:rsidP="006F09A6">
      <w:pPr>
        <w:numPr>
          <w:ilvl w:val="0"/>
          <w:numId w:val="2"/>
        </w:numPr>
      </w:pPr>
      <w:r w:rsidRPr="008C7F7C">
        <w:t>The Administration Sub Committee;</w:t>
      </w:r>
    </w:p>
    <w:p w:rsidR="006F09A6" w:rsidRPr="008C7F7C" w:rsidRDefault="006F09A6" w:rsidP="006F09A6">
      <w:pPr>
        <w:numPr>
          <w:ilvl w:val="0"/>
          <w:numId w:val="2"/>
        </w:numPr>
      </w:pPr>
      <w:r w:rsidRPr="008C7F7C">
        <w:t>The Fund's Investment Panel;</w:t>
      </w:r>
    </w:p>
    <w:p w:rsidR="006F09A6" w:rsidRPr="008C7F7C" w:rsidRDefault="006F09A6" w:rsidP="006F09A6">
      <w:pPr>
        <w:numPr>
          <w:ilvl w:val="0"/>
          <w:numId w:val="2"/>
        </w:numPr>
      </w:pPr>
      <w:r w:rsidRPr="008C7F7C">
        <w:t>The Fund's Investment Managers.</w:t>
      </w:r>
    </w:p>
    <w:p w:rsidR="006F09A6" w:rsidRPr="008C7F7C" w:rsidRDefault="006F09A6" w:rsidP="006F09A6">
      <w:pPr>
        <w:numPr>
          <w:ilvl w:val="0"/>
          <w:numId w:val="2"/>
        </w:numPr>
      </w:pPr>
      <w:r w:rsidRPr="008C7F7C">
        <w:t>The Fund's Custodian</w:t>
      </w:r>
      <w:r w:rsidR="00E84A8E">
        <w:t xml:space="preserve">; and </w:t>
      </w:r>
    </w:p>
    <w:p w:rsidR="006F09A6" w:rsidRPr="008C7F7C" w:rsidRDefault="006F09A6" w:rsidP="006F09A6">
      <w:pPr>
        <w:numPr>
          <w:ilvl w:val="0"/>
          <w:numId w:val="2"/>
        </w:numPr>
      </w:pPr>
      <w:r w:rsidRPr="008C7F7C">
        <w:t>The Treasurer to the Fund</w:t>
      </w:r>
    </w:p>
    <w:p w:rsidR="006F09A6" w:rsidRPr="008C7F7C" w:rsidRDefault="006F09A6" w:rsidP="006F09A6">
      <w:pPr>
        <w:rPr>
          <w:rFonts w:cs="Arial"/>
          <w:sz w:val="20"/>
        </w:rPr>
      </w:pPr>
    </w:p>
    <w:p w:rsidR="006F09A6" w:rsidRPr="008C7F7C" w:rsidRDefault="006F09A6" w:rsidP="006F09A6">
      <w:r w:rsidRPr="008C7F7C">
        <w:rPr>
          <w:rFonts w:cs="Arial"/>
        </w:rPr>
        <w:t xml:space="preserve">The division of responsibility is </w:t>
      </w:r>
      <w:r w:rsidR="00565247">
        <w:rPr>
          <w:rFonts w:cs="Arial"/>
        </w:rPr>
        <w:t>set out</w:t>
      </w:r>
      <w:r w:rsidR="00A86B4C">
        <w:rPr>
          <w:rFonts w:cs="Arial"/>
        </w:rPr>
        <w:t xml:space="preserve"> </w:t>
      </w:r>
      <w:r w:rsidRPr="008C7F7C">
        <w:rPr>
          <w:rFonts w:cs="Arial"/>
        </w:rPr>
        <w:t>in detail in the Governance Policy Statement</w:t>
      </w:r>
      <w:r w:rsidR="00565247">
        <w:rPr>
          <w:rFonts w:cs="Arial"/>
        </w:rPr>
        <w:t xml:space="preserve">, which is available at </w:t>
      </w:r>
      <w:hyperlink r:id="rId5" w:history="1">
        <w:r w:rsidR="00565247" w:rsidRPr="00303AF4">
          <w:rPr>
            <w:rStyle w:val="Hyperlink"/>
            <w:rFonts w:cs="Arial"/>
          </w:rPr>
          <w:t>www.yourpensionservice.org.uk</w:t>
        </w:r>
      </w:hyperlink>
      <w:r w:rsidR="00565247">
        <w:rPr>
          <w:rFonts w:cs="Arial"/>
        </w:rPr>
        <w:t xml:space="preserve"> or on request from the Fund</w:t>
      </w:r>
      <w:r w:rsidR="00A86B4C">
        <w:rPr>
          <w:rFonts w:cs="Arial"/>
        </w:rPr>
        <w:t xml:space="preserve">, but in summary, </w:t>
      </w:r>
      <w:r w:rsidRPr="008C7F7C">
        <w:rPr>
          <w:rFonts w:cs="Arial"/>
        </w:rPr>
        <w:t>responsibilit</w:t>
      </w:r>
      <w:r w:rsidR="00565247">
        <w:rPr>
          <w:rFonts w:cs="Arial"/>
        </w:rPr>
        <w:t>ies are allocated</w:t>
      </w:r>
      <w:r w:rsidRPr="008C7F7C">
        <w:rPr>
          <w:rFonts w:cs="Arial"/>
        </w:rPr>
        <w:t xml:space="preserve"> as follows:</w:t>
      </w:r>
    </w:p>
    <w:p w:rsidR="006F09A6" w:rsidRPr="008C7F7C" w:rsidRDefault="006F09A6" w:rsidP="006F09A6">
      <w:pPr>
        <w:rPr>
          <w:rFonts w:cs="Arial"/>
          <w:sz w:val="20"/>
        </w:rPr>
      </w:pPr>
    </w:p>
    <w:p w:rsidR="006F09A6" w:rsidRPr="008C7F7C" w:rsidRDefault="006F09A6" w:rsidP="006F09A6">
      <w:pPr>
        <w:pStyle w:val="Heading4"/>
        <w:rPr>
          <w:rFonts w:cs="Arial"/>
          <w:u w:val="none"/>
        </w:rPr>
      </w:pPr>
      <w:r w:rsidRPr="008C7F7C">
        <w:rPr>
          <w:rFonts w:cs="Arial"/>
          <w:u w:val="none"/>
        </w:rPr>
        <w:t>Pension Fund Committee</w:t>
      </w:r>
    </w:p>
    <w:p w:rsidR="006F09A6" w:rsidRPr="008C7F7C" w:rsidRDefault="006F09A6" w:rsidP="006F09A6">
      <w:pPr>
        <w:rPr>
          <w:rFonts w:cs="Arial"/>
          <w:sz w:val="20"/>
        </w:rPr>
      </w:pPr>
    </w:p>
    <w:p w:rsidR="006F09A6" w:rsidRPr="008C7F7C" w:rsidRDefault="006F09A6" w:rsidP="006F09A6">
      <w:r w:rsidRPr="004725DA">
        <w:rPr>
          <w:rFonts w:cs="Arial"/>
        </w:rPr>
        <w:t xml:space="preserve">The Pension Fund Committee has overall responsibility for investment policy and monitoring overall performance. The Committee meets four times a year, and currently comprises 14 elected County Councillors, </w:t>
      </w:r>
      <w:r w:rsidR="004725DA">
        <w:rPr>
          <w:rFonts w:cs="Arial"/>
        </w:rPr>
        <w:t>4</w:t>
      </w:r>
      <w:r w:rsidRPr="004725DA">
        <w:rPr>
          <w:rFonts w:cs="Arial"/>
        </w:rPr>
        <w:t xml:space="preserve"> representatives of the District Councils and Unitary Authorities within the Fund, 2 representatives </w:t>
      </w:r>
      <w:r w:rsidR="00D401D5">
        <w:rPr>
          <w:rFonts w:cs="Arial"/>
        </w:rPr>
        <w:t xml:space="preserve">of scheme members </w:t>
      </w:r>
      <w:r w:rsidRPr="004725DA">
        <w:rPr>
          <w:rFonts w:cs="Arial"/>
        </w:rPr>
        <w:t>and a representative of the Higher and Further Education Sectors in Lancashire</w:t>
      </w:r>
      <w:r w:rsidRPr="008C7F7C">
        <w:rPr>
          <w:rFonts w:cs="Arial"/>
        </w:rPr>
        <w:t xml:space="preserve">. </w:t>
      </w:r>
    </w:p>
    <w:p w:rsidR="006F09A6" w:rsidRPr="008C7F7C" w:rsidRDefault="006F09A6" w:rsidP="006F09A6">
      <w:pPr>
        <w:rPr>
          <w:rFonts w:cs="Arial"/>
          <w:sz w:val="20"/>
        </w:rPr>
      </w:pPr>
    </w:p>
    <w:p w:rsidR="006F09A6" w:rsidRPr="008C7F7C" w:rsidRDefault="006F09A6" w:rsidP="006F09A6">
      <w:pPr>
        <w:rPr>
          <w:rFonts w:cs="Arial"/>
          <w:b/>
        </w:rPr>
      </w:pPr>
      <w:r w:rsidRPr="008C7F7C">
        <w:rPr>
          <w:rFonts w:cs="Arial"/>
          <w:b/>
        </w:rPr>
        <w:t>Investment Panel</w:t>
      </w:r>
    </w:p>
    <w:p w:rsidR="006F09A6" w:rsidRPr="008C7F7C" w:rsidRDefault="006F09A6" w:rsidP="006F09A6">
      <w:pPr>
        <w:rPr>
          <w:rFonts w:cs="Arial"/>
          <w:b/>
          <w:szCs w:val="24"/>
        </w:rPr>
      </w:pPr>
    </w:p>
    <w:p w:rsidR="006F09A6" w:rsidRPr="008C7F7C" w:rsidRDefault="006F09A6" w:rsidP="006F09A6">
      <w:r w:rsidRPr="008C7F7C">
        <w:rPr>
          <w:rFonts w:cs="Arial"/>
        </w:rPr>
        <w:t xml:space="preserve">The Investment Panel consists of two independent advisors, the Treasurer to the </w:t>
      </w:r>
      <w:r w:rsidR="009F6564">
        <w:rPr>
          <w:rFonts w:cs="Arial"/>
        </w:rPr>
        <w:t>F</w:t>
      </w:r>
      <w:r w:rsidRPr="008C7F7C">
        <w:rPr>
          <w:rFonts w:cs="Arial"/>
        </w:rPr>
        <w:t xml:space="preserve">und (as Chair), the officer of the County Council fulfilling the role of Chief Investment Officer for the Fund and an officer of the County Council identified by the Treasurer to the Fund to oversee investment </w:t>
      </w:r>
      <w:r w:rsidR="00A86B4C">
        <w:rPr>
          <w:rFonts w:cs="Arial"/>
        </w:rPr>
        <w:t xml:space="preserve">compliance </w:t>
      </w:r>
      <w:r w:rsidRPr="008C7F7C">
        <w:rPr>
          <w:rFonts w:cs="Arial"/>
        </w:rPr>
        <w:t xml:space="preserve">activities. </w:t>
      </w:r>
    </w:p>
    <w:p w:rsidR="006F09A6" w:rsidRPr="008C7F7C" w:rsidRDefault="006F09A6" w:rsidP="006F09A6">
      <w:pPr>
        <w:rPr>
          <w:rFonts w:cs="Arial"/>
          <w:szCs w:val="24"/>
        </w:rPr>
      </w:pPr>
    </w:p>
    <w:p w:rsidR="006F09A6" w:rsidRPr="008C7F7C" w:rsidRDefault="006F09A6" w:rsidP="006F09A6">
      <w:pPr>
        <w:rPr>
          <w:rFonts w:cs="Arial"/>
        </w:rPr>
      </w:pPr>
      <w:r w:rsidRPr="008C7F7C">
        <w:rPr>
          <w:rFonts w:cs="Arial"/>
        </w:rPr>
        <w:t>The Panel meet</w:t>
      </w:r>
      <w:r w:rsidR="00565247">
        <w:rPr>
          <w:rFonts w:cs="Arial"/>
        </w:rPr>
        <w:t>s</w:t>
      </w:r>
      <w:r w:rsidRPr="008C7F7C">
        <w:rPr>
          <w:rFonts w:cs="Arial"/>
        </w:rPr>
        <w:t xml:space="preserve"> at least quarterly, or otherwise as necessary. The Panel may operate through sub groups to undertake particular tasks</w:t>
      </w:r>
      <w:r w:rsidR="00565247">
        <w:rPr>
          <w:rFonts w:cs="Arial"/>
        </w:rPr>
        <w:t>.  It</w:t>
      </w:r>
      <w:r w:rsidRPr="008C7F7C">
        <w:rPr>
          <w:rFonts w:cs="Arial"/>
        </w:rPr>
        <w:t xml:space="preserve"> formulate</w:t>
      </w:r>
      <w:r w:rsidR="00565247">
        <w:rPr>
          <w:rFonts w:cs="Arial"/>
        </w:rPr>
        <w:t>s</w:t>
      </w:r>
      <w:r w:rsidRPr="008C7F7C">
        <w:rPr>
          <w:rFonts w:cs="Arial"/>
        </w:rPr>
        <w:t xml:space="preserve"> recommendations to the Treasurer to the Fund and</w:t>
      </w:r>
      <w:r w:rsidR="00565247">
        <w:rPr>
          <w:rFonts w:cs="Arial"/>
        </w:rPr>
        <w:t>/</w:t>
      </w:r>
      <w:r w:rsidRPr="008C7F7C">
        <w:rPr>
          <w:rFonts w:cs="Arial"/>
        </w:rPr>
        <w:t>or the Pensions Fund Committee through meetings of the full Panel.</w:t>
      </w:r>
    </w:p>
    <w:p w:rsidR="006F09A6" w:rsidRPr="008C7F7C" w:rsidRDefault="006F09A6" w:rsidP="006F09A6">
      <w:r w:rsidRPr="008C7F7C">
        <w:rPr>
          <w:rFonts w:cs="Arial"/>
        </w:rPr>
        <w:lastRenderedPageBreak/>
        <w:t>The Panel is required to provide advice to the Treasurer of the Fund regarding:</w:t>
      </w:r>
    </w:p>
    <w:p w:rsidR="006F09A6" w:rsidRPr="008C7F7C" w:rsidRDefault="006F09A6" w:rsidP="006F09A6">
      <w:pPr>
        <w:jc w:val="both"/>
        <w:rPr>
          <w:rFonts w:cs="Arial"/>
          <w:b/>
          <w:szCs w:val="24"/>
        </w:rPr>
      </w:pPr>
    </w:p>
    <w:p w:rsidR="006F09A6" w:rsidRPr="008C7F7C" w:rsidRDefault="006F09A6" w:rsidP="006F09A6">
      <w:pPr>
        <w:numPr>
          <w:ilvl w:val="0"/>
          <w:numId w:val="3"/>
        </w:numPr>
      </w:pPr>
      <w:r w:rsidRPr="008C7F7C">
        <w:rPr>
          <w:rFonts w:cs="Arial"/>
        </w:rPr>
        <w:t>Recommendations to the Pension Fund Committee in relation to the Investment Strategy for the Fund;</w:t>
      </w:r>
    </w:p>
    <w:p w:rsidR="006F09A6" w:rsidRPr="008C7F7C" w:rsidRDefault="006F09A6" w:rsidP="006F09A6">
      <w:pPr>
        <w:numPr>
          <w:ilvl w:val="0"/>
          <w:numId w:val="3"/>
        </w:numPr>
      </w:pPr>
      <w:r w:rsidRPr="008C7F7C">
        <w:rPr>
          <w:rFonts w:cs="Arial"/>
        </w:rPr>
        <w:t>The broad composition of the Fund's investment portfolio, management style and types of investment;</w:t>
      </w:r>
    </w:p>
    <w:p w:rsidR="006F09A6" w:rsidRPr="008C7F7C" w:rsidRDefault="006F09A6" w:rsidP="006F09A6">
      <w:pPr>
        <w:numPr>
          <w:ilvl w:val="0"/>
          <w:numId w:val="3"/>
        </w:numPr>
      </w:pPr>
      <w:r w:rsidRPr="008C7F7C">
        <w:rPr>
          <w:rFonts w:cs="Arial"/>
        </w:rPr>
        <w:t>The proposed procurement process, tender award criteria and evaluation methodology for external advisers and other external assistance including investment managers, property agents and advisors, corporate governance adviser, Fund Custodian, performance measurement advisers, the Fund Actuary and the Fund's AVC Provider ("external support") to enable the Treasurer to the Fund to seek the approval of the Pension Fund Committee to commence the procurement of any required external support</w:t>
      </w:r>
      <w:r w:rsidR="00E84A8E">
        <w:rPr>
          <w:rFonts w:cs="Arial"/>
        </w:rPr>
        <w:t>;</w:t>
      </w:r>
    </w:p>
    <w:p w:rsidR="006F09A6" w:rsidRPr="008C7F7C" w:rsidRDefault="006F09A6" w:rsidP="006F09A6">
      <w:pPr>
        <w:numPr>
          <w:ilvl w:val="0"/>
          <w:numId w:val="3"/>
        </w:numPr>
      </w:pPr>
      <w:r w:rsidRPr="008C7F7C">
        <w:rPr>
          <w:rFonts w:cs="Arial"/>
        </w:rPr>
        <w:t>The selection and appointment of any required external support</w:t>
      </w:r>
      <w:r w:rsidR="009F6564">
        <w:rPr>
          <w:rFonts w:cs="Arial"/>
        </w:rPr>
        <w:t xml:space="preserve"> </w:t>
      </w:r>
      <w:r w:rsidRPr="008C7F7C">
        <w:rPr>
          <w:rFonts w:cs="Arial"/>
        </w:rPr>
        <w:t xml:space="preserve">(subject to the role of the Pension Fund Committee), their </w:t>
      </w:r>
      <w:r w:rsidR="00565247">
        <w:rPr>
          <w:rFonts w:cs="Arial"/>
        </w:rPr>
        <w:t xml:space="preserve">remit and </w:t>
      </w:r>
      <w:r w:rsidRPr="008C7F7C">
        <w:rPr>
          <w:rFonts w:cs="Arial"/>
        </w:rPr>
        <w:t>terms of office;</w:t>
      </w:r>
    </w:p>
    <w:p w:rsidR="006F09A6" w:rsidRPr="008C7F7C" w:rsidRDefault="006F09A6" w:rsidP="006F09A6">
      <w:pPr>
        <w:numPr>
          <w:ilvl w:val="0"/>
          <w:numId w:val="3"/>
        </w:numPr>
      </w:pPr>
      <w:r w:rsidRPr="008C7F7C">
        <w:rPr>
          <w:rFonts w:cs="Arial"/>
        </w:rPr>
        <w:t xml:space="preserve">The allocation of ranges and thresholds within </w:t>
      </w:r>
      <w:r w:rsidR="009F6564">
        <w:rPr>
          <w:rFonts w:cs="Arial"/>
        </w:rPr>
        <w:t xml:space="preserve">which </w:t>
      </w:r>
      <w:r w:rsidRPr="008C7F7C">
        <w:rPr>
          <w:rFonts w:cs="Arial"/>
        </w:rPr>
        <w:t>the Investment Managers should operate;</w:t>
      </w:r>
    </w:p>
    <w:p w:rsidR="006F09A6" w:rsidRPr="008C7F7C" w:rsidRDefault="006F09A6" w:rsidP="006F09A6">
      <w:pPr>
        <w:numPr>
          <w:ilvl w:val="0"/>
          <w:numId w:val="3"/>
        </w:numPr>
      </w:pPr>
      <w:r w:rsidRPr="008C7F7C">
        <w:rPr>
          <w:rFonts w:cs="Arial"/>
        </w:rPr>
        <w:t>Review of the Statement of Investment Principles and compliance with investment arrangements;</w:t>
      </w:r>
    </w:p>
    <w:p w:rsidR="006F09A6" w:rsidRPr="00A86B4C" w:rsidRDefault="006F09A6" w:rsidP="006F09A6">
      <w:pPr>
        <w:numPr>
          <w:ilvl w:val="0"/>
          <w:numId w:val="3"/>
        </w:numPr>
      </w:pPr>
      <w:r w:rsidRPr="008C7F7C">
        <w:rPr>
          <w:rFonts w:cs="Arial"/>
        </w:rPr>
        <w:t>Recommendations on the detailed management of the investment portfolios</w:t>
      </w:r>
      <w:r w:rsidR="00565247">
        <w:rPr>
          <w:rFonts w:cs="Arial"/>
        </w:rPr>
        <w:t xml:space="preserve"> including the selection of pooled funds</w:t>
      </w:r>
      <w:r w:rsidRPr="008C7F7C">
        <w:rPr>
          <w:rFonts w:cs="Arial"/>
        </w:rPr>
        <w:t>;</w:t>
      </w:r>
      <w:r w:rsidR="003B0E8A">
        <w:rPr>
          <w:rFonts w:cs="Arial"/>
        </w:rPr>
        <w:t xml:space="preserve"> and</w:t>
      </w:r>
    </w:p>
    <w:p w:rsidR="00A86B4C" w:rsidRDefault="00A86B4C" w:rsidP="006F09A6">
      <w:pPr>
        <w:numPr>
          <w:ilvl w:val="0"/>
          <w:numId w:val="3"/>
        </w:numPr>
      </w:pPr>
      <w:r>
        <w:t>Performance measurement.</w:t>
      </w:r>
    </w:p>
    <w:p w:rsidR="00A86B4C" w:rsidRPr="008C7F7C" w:rsidRDefault="00A86B4C" w:rsidP="00A86B4C">
      <w:pPr>
        <w:ind w:left="360"/>
      </w:pPr>
    </w:p>
    <w:p w:rsidR="006F09A6" w:rsidRPr="008C7F7C" w:rsidRDefault="006F09A6" w:rsidP="006F09A6">
      <w:pPr>
        <w:pStyle w:val="Heading4"/>
        <w:rPr>
          <w:rFonts w:cs="Arial"/>
          <w:u w:val="none"/>
        </w:rPr>
      </w:pPr>
      <w:r w:rsidRPr="008C7F7C">
        <w:rPr>
          <w:rFonts w:cs="Arial"/>
          <w:u w:val="none"/>
        </w:rPr>
        <w:t>Investment Managers</w:t>
      </w:r>
    </w:p>
    <w:p w:rsidR="006F09A6" w:rsidRPr="008C7F7C" w:rsidRDefault="006F09A6" w:rsidP="006F09A6">
      <w:pPr>
        <w:rPr>
          <w:rFonts w:cs="Arial"/>
          <w:sz w:val="20"/>
        </w:rPr>
      </w:pPr>
    </w:p>
    <w:p w:rsidR="006F09A6" w:rsidRPr="008C7F7C" w:rsidRDefault="006F09A6" w:rsidP="006F09A6">
      <w:r w:rsidRPr="008C7F7C">
        <w:rPr>
          <w:rFonts w:cs="Arial"/>
        </w:rPr>
        <w:t xml:space="preserve">The management of the Fund’s investments is structured so as to provide diversification of management style and produce an acceptable spread of risk across the portfolio whilst maximising returns.  </w:t>
      </w:r>
    </w:p>
    <w:p w:rsidR="003221EC" w:rsidRDefault="003221EC" w:rsidP="006F09A6">
      <w:pPr>
        <w:jc w:val="both"/>
        <w:rPr>
          <w:rFonts w:cs="Arial"/>
        </w:rPr>
      </w:pPr>
    </w:p>
    <w:p w:rsidR="00A64E99" w:rsidRDefault="003221EC" w:rsidP="00A64E99">
      <w:pPr>
        <w:jc w:val="both"/>
        <w:rPr>
          <w:rFonts w:cs="Arial"/>
          <w:color w:val="000000"/>
          <w:szCs w:val="24"/>
        </w:rPr>
      </w:pPr>
      <w:r>
        <w:rPr>
          <w:rFonts w:cs="Arial"/>
        </w:rPr>
        <w:t>All Fund managers are subject to investment due diligence and all</w:t>
      </w:r>
      <w:r w:rsidR="00FF6D60">
        <w:rPr>
          <w:rFonts w:cs="Arial"/>
        </w:rPr>
        <w:t xml:space="preserve"> the</w:t>
      </w:r>
      <w:r>
        <w:rPr>
          <w:rFonts w:cs="Arial"/>
        </w:rPr>
        <w:t xml:space="preserve"> segregated fund managers are UK FSA registered</w:t>
      </w:r>
      <w:r w:rsidR="00A64E99">
        <w:rPr>
          <w:rFonts w:cs="Arial"/>
        </w:rPr>
        <w:t xml:space="preserve">. </w:t>
      </w:r>
      <w:r w:rsidR="00A64E99" w:rsidRPr="005C75FF">
        <w:rPr>
          <w:rFonts w:cs="Arial"/>
          <w:color w:val="000000"/>
          <w:szCs w:val="24"/>
        </w:rPr>
        <w:t>New allocations may be made from time to time and Investment Managers are added to, removed or changed as necessary</w:t>
      </w:r>
      <w:r w:rsidR="00A86B4C">
        <w:rPr>
          <w:rFonts w:cs="Arial"/>
          <w:color w:val="000000"/>
          <w:szCs w:val="24"/>
        </w:rPr>
        <w:t>.</w:t>
      </w:r>
    </w:p>
    <w:p w:rsidR="00A86B4C" w:rsidRPr="005C75FF" w:rsidRDefault="00A86B4C" w:rsidP="00A64E99">
      <w:pPr>
        <w:jc w:val="both"/>
        <w:rPr>
          <w:szCs w:val="24"/>
        </w:rPr>
      </w:pPr>
    </w:p>
    <w:p w:rsidR="007B4D86" w:rsidRDefault="00C741FD" w:rsidP="006D2713">
      <w:pPr>
        <w:jc w:val="both"/>
      </w:pPr>
      <w:r w:rsidRPr="008C7F7C">
        <w:rPr>
          <w:rFonts w:cs="Arial"/>
        </w:rPr>
        <w:t xml:space="preserve">The Fund's </w:t>
      </w:r>
      <w:r w:rsidR="00107D4D">
        <w:rPr>
          <w:rFonts w:cs="Arial"/>
        </w:rPr>
        <w:t>I</w:t>
      </w:r>
      <w:r w:rsidRPr="008C7F7C">
        <w:rPr>
          <w:rFonts w:cs="Arial"/>
        </w:rPr>
        <w:t xml:space="preserve">nvestment </w:t>
      </w:r>
      <w:r w:rsidR="00107D4D">
        <w:rPr>
          <w:rFonts w:cs="Arial"/>
        </w:rPr>
        <w:t>M</w:t>
      </w:r>
      <w:r w:rsidRPr="008C7F7C">
        <w:rPr>
          <w:rFonts w:cs="Arial"/>
        </w:rPr>
        <w:t>anagers are</w:t>
      </w:r>
      <w:r>
        <w:rPr>
          <w:rFonts w:cs="Arial"/>
        </w:rPr>
        <w:t xml:space="preserve"> listed in its Annual Report</w:t>
      </w:r>
    </w:p>
    <w:p w:rsidR="007B4D86" w:rsidRDefault="007B4D86" w:rsidP="006D2713">
      <w:pPr>
        <w:jc w:val="both"/>
      </w:pPr>
    </w:p>
    <w:p w:rsidR="006F09A6" w:rsidRPr="008C7F7C" w:rsidRDefault="006F09A6" w:rsidP="006F09A6">
      <w:pPr>
        <w:pStyle w:val="Bullet4"/>
        <w:numPr>
          <w:ilvl w:val="0"/>
          <w:numId w:val="0"/>
        </w:numPr>
        <w:tabs>
          <w:tab w:val="left" w:pos="720"/>
        </w:tabs>
        <w:spacing w:after="0"/>
        <w:rPr>
          <w:rFonts w:cs="Arial"/>
          <w:sz w:val="10"/>
        </w:rPr>
      </w:pPr>
    </w:p>
    <w:p w:rsidR="009954B6" w:rsidRPr="00FF5267" w:rsidRDefault="009954B6" w:rsidP="009954B6">
      <w:pPr>
        <w:rPr>
          <w:rFonts w:cs="Arial"/>
          <w:b/>
          <w:snapToGrid w:val="0"/>
          <w:lang w:eastAsia="en-US"/>
        </w:rPr>
      </w:pPr>
      <w:r w:rsidRPr="00FF5267">
        <w:rPr>
          <w:rFonts w:cs="Arial"/>
          <w:b/>
          <w:snapToGrid w:val="0"/>
          <w:lang w:eastAsia="en-US"/>
        </w:rPr>
        <w:t>Role of Lancashire County Council in-house staff in respect of the accounts and investments of the Pension Fund</w:t>
      </w:r>
    </w:p>
    <w:p w:rsidR="009954B6" w:rsidRPr="00FF5267" w:rsidRDefault="009954B6" w:rsidP="009954B6">
      <w:pPr>
        <w:rPr>
          <w:rFonts w:cs="Arial"/>
          <w:szCs w:val="24"/>
        </w:rPr>
      </w:pPr>
    </w:p>
    <w:p w:rsidR="009954B6" w:rsidRPr="00FF5267" w:rsidRDefault="009954B6" w:rsidP="009954B6">
      <w:r w:rsidRPr="00FF5267">
        <w:rPr>
          <w:rFonts w:cs="Arial"/>
        </w:rPr>
        <w:t>Under the Lancashire County Council Scheme of delegation to Chief Officers, the  Treasurer to the Fund, is responsible for carrying out, in consultation with the Investment Panel, the County Council’s duties under the Local Government Pension Scheme (Management and Investment of Fund’s) Regulations 1998, (as amended) with regard to the requirement to review the investments made by the Fund Managers.  She reports at each meeting of the Pension Fund Committee.</w:t>
      </w:r>
    </w:p>
    <w:p w:rsidR="009954B6" w:rsidRPr="00FF5267" w:rsidRDefault="009954B6" w:rsidP="009954B6">
      <w:pPr>
        <w:rPr>
          <w:rFonts w:cs="Arial"/>
          <w:szCs w:val="24"/>
        </w:rPr>
      </w:pPr>
    </w:p>
    <w:p w:rsidR="009954B6" w:rsidRDefault="00D401D5" w:rsidP="009954B6">
      <w:pPr>
        <w:rPr>
          <w:rFonts w:cs="Arial"/>
        </w:rPr>
      </w:pPr>
      <w:r w:rsidRPr="00FF5267">
        <w:rPr>
          <w:rFonts w:cs="Arial"/>
        </w:rPr>
        <w:t>The Treasury and Investment</w:t>
      </w:r>
      <w:r>
        <w:rPr>
          <w:rFonts w:cs="Arial"/>
        </w:rPr>
        <w:t xml:space="preserve">, Financial Accounting and Taxation and Investment Compliance </w:t>
      </w:r>
      <w:r w:rsidRPr="00FF5267">
        <w:rPr>
          <w:rFonts w:cs="Arial"/>
        </w:rPr>
        <w:t>Team</w:t>
      </w:r>
      <w:r>
        <w:rPr>
          <w:rFonts w:cs="Arial"/>
        </w:rPr>
        <w:t>s</w:t>
      </w:r>
      <w:r w:rsidRPr="00FF5267">
        <w:rPr>
          <w:rFonts w:cs="Arial"/>
        </w:rPr>
        <w:t xml:space="preserve"> with</w:t>
      </w:r>
      <w:r>
        <w:rPr>
          <w:rFonts w:cs="Arial"/>
        </w:rPr>
        <w:t>in</w:t>
      </w:r>
      <w:r w:rsidRPr="00FF5267">
        <w:rPr>
          <w:rFonts w:cs="Arial"/>
        </w:rPr>
        <w:t xml:space="preserve"> the County Treasurer's D</w:t>
      </w:r>
      <w:r>
        <w:rPr>
          <w:rFonts w:cs="Arial"/>
        </w:rPr>
        <w:t xml:space="preserve">irectorate </w:t>
      </w:r>
      <w:r w:rsidR="009954B6" w:rsidRPr="00FF5267">
        <w:rPr>
          <w:rFonts w:cs="Arial"/>
        </w:rPr>
        <w:t>support the Treasurer in respect of her Pension Fund investment and accounting responsibilities and provide the following services:</w:t>
      </w:r>
    </w:p>
    <w:p w:rsidR="009954B6" w:rsidRDefault="009954B6" w:rsidP="009954B6">
      <w:pPr>
        <w:rPr>
          <w:rFonts w:cs="Arial"/>
        </w:rPr>
      </w:pPr>
    </w:p>
    <w:p w:rsidR="002608DA" w:rsidRPr="00A86B4C" w:rsidRDefault="002608DA" w:rsidP="002608DA">
      <w:pPr>
        <w:numPr>
          <w:ilvl w:val="0"/>
          <w:numId w:val="20"/>
        </w:numPr>
        <w:rPr>
          <w:rFonts w:cs="Arial"/>
        </w:rPr>
      </w:pPr>
      <w:r w:rsidRPr="00A86B4C">
        <w:rPr>
          <w:rFonts w:cs="Arial"/>
        </w:rPr>
        <w:lastRenderedPageBreak/>
        <w:t>Investment management services;</w:t>
      </w:r>
    </w:p>
    <w:p w:rsidR="002608DA" w:rsidRPr="00A86B4C" w:rsidRDefault="002608DA" w:rsidP="002608DA">
      <w:pPr>
        <w:numPr>
          <w:ilvl w:val="0"/>
          <w:numId w:val="20"/>
        </w:numPr>
        <w:rPr>
          <w:rFonts w:cs="Arial"/>
        </w:rPr>
      </w:pPr>
      <w:r w:rsidRPr="00A86B4C">
        <w:rPr>
          <w:rFonts w:cs="Arial"/>
        </w:rPr>
        <w:t>Production of the Pension Fund Annual Report;</w:t>
      </w:r>
    </w:p>
    <w:p w:rsidR="002608DA" w:rsidRPr="00A86B4C" w:rsidRDefault="002608DA" w:rsidP="002608DA">
      <w:pPr>
        <w:numPr>
          <w:ilvl w:val="0"/>
          <w:numId w:val="20"/>
        </w:numPr>
        <w:rPr>
          <w:rFonts w:cs="Arial"/>
        </w:rPr>
      </w:pPr>
      <w:r w:rsidRPr="00A86B4C">
        <w:rPr>
          <w:rFonts w:cs="Arial"/>
        </w:rPr>
        <w:t>Preparation and maintenance of the accounts and balance sheet of the Pension Fund;</w:t>
      </w:r>
    </w:p>
    <w:p w:rsidR="002608DA" w:rsidRPr="00A86B4C" w:rsidRDefault="002608DA" w:rsidP="002608DA">
      <w:pPr>
        <w:numPr>
          <w:ilvl w:val="0"/>
          <w:numId w:val="20"/>
        </w:numPr>
        <w:rPr>
          <w:rFonts w:cs="Arial"/>
        </w:rPr>
      </w:pPr>
      <w:r w:rsidRPr="00A86B4C">
        <w:rPr>
          <w:rFonts w:cs="Arial"/>
        </w:rPr>
        <w:t>Verification and monitoring of the investment data produced by the Fund managers to independent custodian records;</w:t>
      </w:r>
    </w:p>
    <w:p w:rsidR="002608DA" w:rsidRPr="00A86B4C" w:rsidRDefault="002608DA" w:rsidP="002608DA">
      <w:pPr>
        <w:numPr>
          <w:ilvl w:val="0"/>
          <w:numId w:val="20"/>
        </w:numPr>
        <w:rPr>
          <w:rFonts w:cs="Arial"/>
        </w:rPr>
      </w:pPr>
      <w:r w:rsidRPr="00A86B4C">
        <w:rPr>
          <w:rFonts w:cs="Arial"/>
        </w:rPr>
        <w:t>Production of Pension Fund Business Plan;</w:t>
      </w:r>
    </w:p>
    <w:p w:rsidR="002608DA" w:rsidRPr="00A86B4C" w:rsidRDefault="002608DA" w:rsidP="002608DA">
      <w:pPr>
        <w:numPr>
          <w:ilvl w:val="0"/>
          <w:numId w:val="20"/>
        </w:numPr>
        <w:rPr>
          <w:rFonts w:cs="Arial"/>
        </w:rPr>
      </w:pPr>
      <w:r w:rsidRPr="00A86B4C">
        <w:rPr>
          <w:rFonts w:cs="Arial"/>
        </w:rPr>
        <w:t>Completion of various statistical questionnaires;</w:t>
      </w:r>
    </w:p>
    <w:p w:rsidR="002608DA" w:rsidRPr="00A86B4C" w:rsidRDefault="002608DA" w:rsidP="002608DA">
      <w:pPr>
        <w:numPr>
          <w:ilvl w:val="0"/>
          <w:numId w:val="20"/>
        </w:numPr>
        <w:rPr>
          <w:rFonts w:cs="Arial"/>
        </w:rPr>
      </w:pPr>
      <w:r w:rsidRPr="00A86B4C">
        <w:rPr>
          <w:rFonts w:cs="Arial"/>
        </w:rPr>
        <w:t>Preparation of agenda, working papers and reports for the Investment Panel meetings, Pension Fund Committee meetings and other miscellaneous investment meetings;</w:t>
      </w:r>
    </w:p>
    <w:p w:rsidR="002608DA" w:rsidRPr="00A86B4C" w:rsidRDefault="002608DA" w:rsidP="002608DA">
      <w:pPr>
        <w:numPr>
          <w:ilvl w:val="0"/>
          <w:numId w:val="20"/>
        </w:numPr>
        <w:rPr>
          <w:rFonts w:cs="Arial"/>
        </w:rPr>
      </w:pPr>
      <w:r w:rsidRPr="00A86B4C">
        <w:rPr>
          <w:rFonts w:cs="Arial"/>
        </w:rPr>
        <w:t>Maintenance of Pension Fund internal cash account and investment of Pension Fund Cash not held by the investment managers;</w:t>
      </w:r>
    </w:p>
    <w:p w:rsidR="002608DA" w:rsidRPr="00A86B4C" w:rsidRDefault="002608DA" w:rsidP="002608DA">
      <w:pPr>
        <w:numPr>
          <w:ilvl w:val="0"/>
          <w:numId w:val="20"/>
        </w:numPr>
        <w:rPr>
          <w:rFonts w:cs="Arial"/>
        </w:rPr>
      </w:pPr>
      <w:r w:rsidRPr="00A86B4C">
        <w:rPr>
          <w:rFonts w:cs="Arial"/>
        </w:rPr>
        <w:t>Provision of accounting data for IAS19 calculations;</w:t>
      </w:r>
    </w:p>
    <w:p w:rsidR="002608DA" w:rsidRPr="00A86B4C" w:rsidRDefault="002608DA" w:rsidP="002608DA">
      <w:pPr>
        <w:numPr>
          <w:ilvl w:val="0"/>
          <w:numId w:val="20"/>
        </w:numPr>
        <w:rPr>
          <w:rFonts w:cs="Arial"/>
        </w:rPr>
      </w:pPr>
      <w:r w:rsidRPr="00A86B4C">
        <w:rPr>
          <w:rFonts w:cs="Arial"/>
        </w:rPr>
        <w:t>Monitoring compliance with policy laid down by the Investment Panel and Pension Fund Committee;</w:t>
      </w:r>
    </w:p>
    <w:p w:rsidR="002608DA" w:rsidRPr="00A86B4C" w:rsidRDefault="002608DA" w:rsidP="002608DA">
      <w:pPr>
        <w:numPr>
          <w:ilvl w:val="0"/>
          <w:numId w:val="20"/>
        </w:numPr>
        <w:rPr>
          <w:rFonts w:cs="Arial"/>
        </w:rPr>
      </w:pPr>
      <w:r w:rsidRPr="00A86B4C">
        <w:rPr>
          <w:rFonts w:cs="Arial"/>
        </w:rPr>
        <w:t>Maintenance of regular dialogue with investment managers and custodians;</w:t>
      </w:r>
    </w:p>
    <w:p w:rsidR="002608DA" w:rsidRPr="00A86B4C" w:rsidRDefault="002608DA" w:rsidP="002608DA">
      <w:pPr>
        <w:numPr>
          <w:ilvl w:val="0"/>
          <w:numId w:val="20"/>
        </w:numPr>
        <w:rPr>
          <w:rFonts w:cs="Arial"/>
        </w:rPr>
      </w:pPr>
      <w:r w:rsidRPr="00A86B4C">
        <w:rPr>
          <w:rFonts w:cs="Arial"/>
        </w:rPr>
        <w:t>The provision of data for performance monitoring and interpretation of performance results;</w:t>
      </w:r>
    </w:p>
    <w:p w:rsidR="002608DA" w:rsidRPr="00A86B4C" w:rsidRDefault="002608DA" w:rsidP="002608DA">
      <w:pPr>
        <w:numPr>
          <w:ilvl w:val="0"/>
          <w:numId w:val="20"/>
        </w:numPr>
        <w:rPr>
          <w:rFonts w:cs="Arial"/>
        </w:rPr>
      </w:pPr>
      <w:r w:rsidRPr="00A86B4C">
        <w:rPr>
          <w:rFonts w:cs="Arial"/>
        </w:rPr>
        <w:t>The conducting of procurement exercises to secure the services of Investment Managers and other service providers on behalf of the Fund.</w:t>
      </w:r>
    </w:p>
    <w:p w:rsidR="002608DA" w:rsidRPr="00A86B4C" w:rsidRDefault="002608DA" w:rsidP="002608DA">
      <w:pPr>
        <w:numPr>
          <w:ilvl w:val="0"/>
          <w:numId w:val="20"/>
        </w:numPr>
        <w:rPr>
          <w:rFonts w:cs="Arial"/>
        </w:rPr>
      </w:pPr>
      <w:r w:rsidRPr="00A86B4C">
        <w:rPr>
          <w:rFonts w:cs="Arial"/>
        </w:rPr>
        <w:t>The identifying of and conducting of due diligence on individual investment opportunities for consideration by the Investment Panel.</w:t>
      </w:r>
    </w:p>
    <w:p w:rsidR="002608DA" w:rsidRPr="00A86B4C" w:rsidRDefault="002608DA" w:rsidP="002608DA">
      <w:pPr>
        <w:numPr>
          <w:ilvl w:val="0"/>
          <w:numId w:val="20"/>
        </w:numPr>
        <w:rPr>
          <w:rFonts w:cs="Arial"/>
        </w:rPr>
      </w:pPr>
      <w:r w:rsidRPr="00A86B4C">
        <w:rPr>
          <w:rFonts w:cs="Arial"/>
        </w:rPr>
        <w:t>Monitoring voting action by the managers;</w:t>
      </w:r>
    </w:p>
    <w:p w:rsidR="002608DA" w:rsidRPr="00A86B4C" w:rsidRDefault="002608DA" w:rsidP="002608DA">
      <w:pPr>
        <w:numPr>
          <w:ilvl w:val="0"/>
          <w:numId w:val="20"/>
        </w:numPr>
        <w:rPr>
          <w:rFonts w:cs="Arial"/>
        </w:rPr>
      </w:pPr>
      <w:r w:rsidRPr="00A86B4C">
        <w:rPr>
          <w:rFonts w:cs="Arial"/>
        </w:rPr>
        <w:t>Advice to the Treasurer on Pension Fund Investment issues;</w:t>
      </w:r>
    </w:p>
    <w:p w:rsidR="002608DA" w:rsidRPr="00A86B4C" w:rsidRDefault="002608DA" w:rsidP="002608DA">
      <w:pPr>
        <w:numPr>
          <w:ilvl w:val="0"/>
          <w:numId w:val="20"/>
        </w:numPr>
        <w:rPr>
          <w:rFonts w:cs="Arial"/>
        </w:rPr>
      </w:pPr>
      <w:r w:rsidRPr="00A86B4C">
        <w:rPr>
          <w:rFonts w:cs="Arial"/>
        </w:rPr>
        <w:t>Verification, monitoring and payment of Pension Fund fee invoices;</w:t>
      </w:r>
    </w:p>
    <w:p w:rsidR="002608DA" w:rsidRPr="00A86B4C" w:rsidRDefault="002608DA" w:rsidP="002608DA">
      <w:pPr>
        <w:numPr>
          <w:ilvl w:val="0"/>
          <w:numId w:val="20"/>
        </w:numPr>
        <w:rPr>
          <w:rFonts w:cs="Arial"/>
        </w:rPr>
      </w:pPr>
      <w:r w:rsidRPr="00A86B4C">
        <w:rPr>
          <w:rFonts w:cs="Arial"/>
        </w:rPr>
        <w:t>Monitoring the receipt of income due to the Fund;</w:t>
      </w:r>
    </w:p>
    <w:p w:rsidR="002608DA" w:rsidRPr="00A86B4C" w:rsidRDefault="002608DA" w:rsidP="002608DA">
      <w:pPr>
        <w:numPr>
          <w:ilvl w:val="0"/>
          <w:numId w:val="20"/>
        </w:numPr>
        <w:rPr>
          <w:rFonts w:cs="Arial"/>
        </w:rPr>
      </w:pPr>
      <w:r w:rsidRPr="00A86B4C">
        <w:rPr>
          <w:rFonts w:cs="Arial"/>
        </w:rPr>
        <w:t>Representing the Treasurer at the Local Authority Pension Fund Forum meetings and other relevant Pension Fund Investment meetings;</w:t>
      </w:r>
    </w:p>
    <w:p w:rsidR="002608DA" w:rsidRPr="00A86B4C" w:rsidRDefault="002608DA" w:rsidP="002608DA">
      <w:pPr>
        <w:numPr>
          <w:ilvl w:val="0"/>
          <w:numId w:val="20"/>
        </w:numPr>
        <w:rPr>
          <w:rFonts w:cs="Arial"/>
        </w:rPr>
      </w:pPr>
      <w:r w:rsidRPr="00A86B4C">
        <w:rPr>
          <w:rFonts w:cs="Arial"/>
        </w:rPr>
        <w:t>Interpretation and implementation of the requirements of new legislation relating to Pension Fund accounting and investments;</w:t>
      </w:r>
    </w:p>
    <w:p w:rsidR="002608DA" w:rsidRPr="00A86B4C" w:rsidRDefault="002608DA" w:rsidP="002608DA">
      <w:pPr>
        <w:numPr>
          <w:ilvl w:val="0"/>
          <w:numId w:val="20"/>
        </w:numPr>
        <w:rPr>
          <w:rFonts w:cs="Arial"/>
        </w:rPr>
      </w:pPr>
      <w:r w:rsidRPr="00A86B4C">
        <w:rPr>
          <w:rFonts w:cs="Arial"/>
        </w:rPr>
        <w:t>Attendance at various seminars covering new developments in respect of Pension Fund Inv</w:t>
      </w:r>
      <w:r>
        <w:rPr>
          <w:rFonts w:cs="Arial"/>
        </w:rPr>
        <w:t>estment issues; and</w:t>
      </w:r>
    </w:p>
    <w:p w:rsidR="002608DA" w:rsidRPr="00A86B4C" w:rsidRDefault="002608DA" w:rsidP="002608DA">
      <w:pPr>
        <w:numPr>
          <w:ilvl w:val="0"/>
          <w:numId w:val="20"/>
        </w:numPr>
        <w:rPr>
          <w:rFonts w:cs="Arial"/>
        </w:rPr>
      </w:pPr>
      <w:r w:rsidRPr="00A86B4C">
        <w:rPr>
          <w:rFonts w:cs="Arial"/>
        </w:rPr>
        <w:t>Research initiatives</w:t>
      </w:r>
    </w:p>
    <w:p w:rsidR="00A86B4C" w:rsidRPr="002608DA" w:rsidRDefault="00A86B4C" w:rsidP="002608DA">
      <w:pPr>
        <w:pStyle w:val="ListParagraph"/>
        <w:jc w:val="both"/>
        <w:rPr>
          <w:rFonts w:cs="Arial"/>
        </w:rPr>
      </w:pPr>
    </w:p>
    <w:p w:rsidR="006F09A6" w:rsidRPr="008C7F7C" w:rsidRDefault="006F09A6" w:rsidP="006F09A6">
      <w:pPr>
        <w:pStyle w:val="Heading4"/>
        <w:rPr>
          <w:rFonts w:cs="Arial"/>
          <w:u w:val="none"/>
        </w:rPr>
      </w:pPr>
      <w:r w:rsidRPr="008C7F7C">
        <w:rPr>
          <w:rFonts w:cs="Arial"/>
          <w:u w:val="none"/>
        </w:rPr>
        <w:t>Investment Objective</w:t>
      </w:r>
    </w:p>
    <w:p w:rsidR="006F09A6" w:rsidRPr="008C7F7C" w:rsidRDefault="006F09A6" w:rsidP="006F09A6">
      <w:pPr>
        <w:rPr>
          <w:rFonts w:cs="Arial"/>
          <w:sz w:val="20"/>
        </w:rPr>
      </w:pPr>
    </w:p>
    <w:p w:rsidR="006F09A6" w:rsidRPr="008C7F7C" w:rsidRDefault="006F09A6" w:rsidP="006F09A6">
      <w:pPr>
        <w:jc w:val="both"/>
      </w:pPr>
      <w:r w:rsidRPr="008C7F7C">
        <w:rPr>
          <w:rFonts w:cs="Arial"/>
        </w:rPr>
        <w:t>The Fund has two objectives in terms of its investment activities:</w:t>
      </w:r>
    </w:p>
    <w:p w:rsidR="006F09A6" w:rsidRPr="008C7F7C" w:rsidRDefault="006F09A6" w:rsidP="006F09A6">
      <w:pPr>
        <w:jc w:val="both"/>
        <w:rPr>
          <w:rFonts w:cs="Arial"/>
          <w:szCs w:val="24"/>
        </w:rPr>
      </w:pPr>
    </w:p>
    <w:p w:rsidR="006F09A6" w:rsidRPr="008C7F7C" w:rsidRDefault="006F09A6" w:rsidP="006F09A6">
      <w:pPr>
        <w:numPr>
          <w:ilvl w:val="0"/>
          <w:numId w:val="6"/>
        </w:numPr>
      </w:pPr>
      <w:r w:rsidRPr="008C7F7C">
        <w:rPr>
          <w:rFonts w:cs="Arial"/>
        </w:rPr>
        <w:t>To ensure that resources are available to meet the Fund's liabilities through achieving investment performance at least in line with actuarial assumption</w:t>
      </w:r>
      <w:r w:rsidR="00107D4D">
        <w:rPr>
          <w:rFonts w:cs="Arial"/>
        </w:rPr>
        <w:t>s</w:t>
      </w:r>
      <w:r w:rsidRPr="008C7F7C">
        <w:rPr>
          <w:rFonts w:cs="Arial"/>
        </w:rPr>
        <w:t>.</w:t>
      </w:r>
    </w:p>
    <w:p w:rsidR="006F09A6" w:rsidRPr="008C7F7C" w:rsidRDefault="006F09A6" w:rsidP="006F09A6">
      <w:pPr>
        <w:numPr>
          <w:ilvl w:val="0"/>
          <w:numId w:val="6"/>
        </w:numPr>
      </w:pPr>
      <w:r w:rsidRPr="008C7F7C">
        <w:rPr>
          <w:rFonts w:cs="Arial"/>
        </w:rPr>
        <w:t>To achieve full funding (i.e. no funding deficit) over a period no longer than the current recovery period.</w:t>
      </w:r>
    </w:p>
    <w:p w:rsidR="006F09A6" w:rsidRPr="008C7F7C" w:rsidRDefault="006F09A6" w:rsidP="006F09A6">
      <w:pPr>
        <w:ind w:left="720"/>
        <w:jc w:val="both"/>
      </w:pPr>
      <w:r w:rsidRPr="008C7F7C">
        <w:rPr>
          <w:rFonts w:cs="Arial"/>
        </w:rPr>
        <w:t xml:space="preserve"> </w:t>
      </w:r>
    </w:p>
    <w:p w:rsidR="006F09A6" w:rsidRPr="008C7F7C" w:rsidRDefault="006F09A6" w:rsidP="006F09A6">
      <w:pPr>
        <w:autoSpaceDE w:val="0"/>
        <w:autoSpaceDN w:val="0"/>
        <w:adjustRightInd w:val="0"/>
        <w:rPr>
          <w:rFonts w:cs="Arial"/>
          <w:color w:val="000000"/>
          <w:szCs w:val="24"/>
        </w:rPr>
      </w:pPr>
      <w:r w:rsidRPr="008C7F7C">
        <w:rPr>
          <w:rFonts w:cs="Arial"/>
          <w:color w:val="000000"/>
          <w:szCs w:val="24"/>
        </w:rPr>
        <w:t xml:space="preserve">The current funding target assumptions include an assumed investment return (discount rate) of a yield based on market returns on UK Government gilt stocks and other instruments which reflect a market consistent discount rate for the profile and duration of the </w:t>
      </w:r>
      <w:r w:rsidR="00107D4D">
        <w:rPr>
          <w:rFonts w:cs="Arial"/>
          <w:color w:val="000000"/>
          <w:szCs w:val="24"/>
        </w:rPr>
        <w:t>Fund’s</w:t>
      </w:r>
      <w:r w:rsidRPr="008C7F7C">
        <w:rPr>
          <w:rFonts w:cs="Arial"/>
          <w:color w:val="000000"/>
          <w:szCs w:val="24"/>
        </w:rPr>
        <w:t xml:space="preserve"> liabilities, plus an Asset Out-performance Assumption (“AOA”) of 2.5% p.a. for the period pre-retirement and 1.0% p.a. post-retirement.</w:t>
      </w:r>
    </w:p>
    <w:p w:rsidR="006F09A6" w:rsidRPr="008C7F7C" w:rsidRDefault="006F09A6" w:rsidP="006F09A6">
      <w:pPr>
        <w:autoSpaceDE w:val="0"/>
        <w:autoSpaceDN w:val="0"/>
        <w:adjustRightInd w:val="0"/>
        <w:rPr>
          <w:rFonts w:cs="Arial"/>
          <w:color w:val="000000"/>
          <w:szCs w:val="24"/>
        </w:rPr>
      </w:pPr>
    </w:p>
    <w:p w:rsidR="006F09A6" w:rsidRPr="008C7F7C" w:rsidRDefault="006F09A6" w:rsidP="006F09A6">
      <w:pPr>
        <w:autoSpaceDE w:val="0"/>
        <w:autoSpaceDN w:val="0"/>
        <w:adjustRightInd w:val="0"/>
        <w:rPr>
          <w:rFonts w:cs="Arial"/>
          <w:color w:val="000000"/>
          <w:szCs w:val="24"/>
        </w:rPr>
      </w:pPr>
      <w:r w:rsidRPr="008C7F7C">
        <w:rPr>
          <w:rFonts w:cs="Arial"/>
          <w:color w:val="000000"/>
          <w:szCs w:val="24"/>
        </w:rPr>
        <w:lastRenderedPageBreak/>
        <w:t>The asset out-performance assumption represents the allowance made for the long term additional investment performance on the assets of the Fund relative to the yields available on long dated gilt stocks as at the valuation date.</w:t>
      </w:r>
    </w:p>
    <w:p w:rsidR="006F09A6" w:rsidRPr="008C7F7C" w:rsidRDefault="006F09A6" w:rsidP="006F09A6">
      <w:pPr>
        <w:autoSpaceDE w:val="0"/>
        <w:autoSpaceDN w:val="0"/>
        <w:adjustRightInd w:val="0"/>
        <w:rPr>
          <w:rFonts w:cs="Arial"/>
          <w:color w:val="000000"/>
          <w:szCs w:val="24"/>
        </w:rPr>
      </w:pPr>
    </w:p>
    <w:p w:rsidR="006F09A6" w:rsidRPr="008C7F7C" w:rsidRDefault="006F09A6" w:rsidP="006F09A6">
      <w:pPr>
        <w:autoSpaceDE w:val="0"/>
        <w:autoSpaceDN w:val="0"/>
        <w:adjustRightInd w:val="0"/>
        <w:rPr>
          <w:rFonts w:cs="Arial"/>
          <w:color w:val="000000"/>
          <w:szCs w:val="24"/>
        </w:rPr>
      </w:pPr>
      <w:r w:rsidRPr="008C7F7C">
        <w:rPr>
          <w:rFonts w:cs="Arial"/>
          <w:color w:val="000000"/>
          <w:szCs w:val="24"/>
        </w:rPr>
        <w:t xml:space="preserve">The allowance for this out-performance is based on the liability profile of the </w:t>
      </w:r>
      <w:r w:rsidR="00107D4D">
        <w:rPr>
          <w:rFonts w:cs="Arial"/>
          <w:color w:val="000000"/>
          <w:szCs w:val="24"/>
        </w:rPr>
        <w:t>Fund</w:t>
      </w:r>
      <w:r w:rsidRPr="008C7F7C">
        <w:rPr>
          <w:rFonts w:cs="Arial"/>
          <w:color w:val="000000"/>
          <w:szCs w:val="24"/>
        </w:rPr>
        <w:t>, with a higher assumption in respect of the “pre-retirement” (i.e. active and deferred Pensioner) liabilities than for the “post-retirement” (i.e. pensioner) liabilities. This approach allows for a gradual shift in the overall equity/bond weighting of the fund as the liability profile of the membership matures over time.</w:t>
      </w:r>
    </w:p>
    <w:p w:rsidR="006F09A6" w:rsidRPr="008C7F7C" w:rsidRDefault="006F09A6" w:rsidP="006F09A6">
      <w:pPr>
        <w:rPr>
          <w:rFonts w:cs="Arial"/>
          <w:sz w:val="20"/>
        </w:rPr>
      </w:pPr>
    </w:p>
    <w:p w:rsidR="006F09A6" w:rsidRPr="008C7F7C" w:rsidRDefault="006F09A6" w:rsidP="006F09A6">
      <w:pPr>
        <w:pStyle w:val="Heading4"/>
        <w:jc w:val="both"/>
        <w:rPr>
          <w:rFonts w:cs="Arial"/>
          <w:u w:val="none"/>
        </w:rPr>
      </w:pPr>
      <w:r w:rsidRPr="008C7F7C">
        <w:rPr>
          <w:rFonts w:cs="Arial"/>
          <w:u w:val="none"/>
        </w:rPr>
        <w:t>Types of Investment</w:t>
      </w:r>
    </w:p>
    <w:p w:rsidR="006F09A6" w:rsidRPr="008C7F7C" w:rsidRDefault="006F09A6" w:rsidP="006F09A6">
      <w:pPr>
        <w:rPr>
          <w:lang w:eastAsia="en-US"/>
        </w:rPr>
      </w:pPr>
    </w:p>
    <w:p w:rsidR="006F09A6" w:rsidRDefault="006F09A6" w:rsidP="006F09A6">
      <w:pPr>
        <w:rPr>
          <w:rFonts w:cs="Arial"/>
          <w:lang w:eastAsia="en-US"/>
        </w:rPr>
      </w:pPr>
      <w:r w:rsidRPr="008C7F7C">
        <w:rPr>
          <w:rFonts w:cs="Arial"/>
          <w:lang w:eastAsia="en-US"/>
        </w:rPr>
        <w:t>The Investment Panel ("the Panel") will provide expert professional advice to the Pension Fund Committee in relation to investment activities</w:t>
      </w:r>
      <w:r w:rsidR="009F6564">
        <w:rPr>
          <w:rFonts w:cs="Arial"/>
          <w:lang w:eastAsia="en-US"/>
        </w:rPr>
        <w:t xml:space="preserve"> that fall within its approved strategy</w:t>
      </w:r>
      <w:r w:rsidRPr="008C7F7C">
        <w:rPr>
          <w:rFonts w:cs="Arial"/>
          <w:lang w:eastAsia="en-US"/>
        </w:rPr>
        <w:t>, including the following categories of investment:</w:t>
      </w:r>
    </w:p>
    <w:p w:rsidR="009F6564" w:rsidRDefault="009F6564" w:rsidP="006F09A6">
      <w:pPr>
        <w:rPr>
          <w:rFonts w:cs="Arial"/>
          <w:lang w:eastAsia="en-US"/>
        </w:rPr>
      </w:pPr>
    </w:p>
    <w:p w:rsidR="009F6564" w:rsidRDefault="009F6564" w:rsidP="006F09A6">
      <w:pPr>
        <w:rPr>
          <w:rFonts w:cs="Arial"/>
          <w:lang w:eastAsia="en-US"/>
        </w:rPr>
      </w:pPr>
      <w:r>
        <w:rPr>
          <w:rFonts w:cs="Arial"/>
          <w:lang w:eastAsia="en-US"/>
        </w:rPr>
        <w:t>Equities</w:t>
      </w:r>
      <w:r w:rsidR="00026D46">
        <w:rPr>
          <w:rFonts w:cs="Arial"/>
          <w:lang w:eastAsia="en-US"/>
        </w:rPr>
        <w:t>;</w:t>
      </w:r>
    </w:p>
    <w:p w:rsidR="00026D46" w:rsidRDefault="00026D46" w:rsidP="006F09A6">
      <w:pPr>
        <w:rPr>
          <w:rFonts w:cs="Arial"/>
          <w:lang w:eastAsia="en-US"/>
        </w:rPr>
      </w:pPr>
    </w:p>
    <w:p w:rsidR="009F6564" w:rsidRDefault="009F6564" w:rsidP="006F09A6">
      <w:pPr>
        <w:rPr>
          <w:rFonts w:cs="Arial"/>
          <w:lang w:eastAsia="en-US"/>
        </w:rPr>
      </w:pPr>
      <w:r>
        <w:rPr>
          <w:rFonts w:cs="Arial"/>
          <w:lang w:eastAsia="en-US"/>
        </w:rPr>
        <w:t>Fixed interest and index linked securities</w:t>
      </w:r>
      <w:r w:rsidR="00D2034B">
        <w:rPr>
          <w:rFonts w:cs="Arial"/>
          <w:lang w:eastAsia="en-US"/>
        </w:rPr>
        <w:t>;</w:t>
      </w:r>
    </w:p>
    <w:p w:rsidR="00026D46" w:rsidRDefault="00026D46" w:rsidP="006F09A6">
      <w:pPr>
        <w:rPr>
          <w:rFonts w:cs="Arial"/>
          <w:lang w:eastAsia="en-US"/>
        </w:rPr>
      </w:pPr>
    </w:p>
    <w:p w:rsidR="00D401D5" w:rsidRDefault="009F6564" w:rsidP="006F09A6">
      <w:pPr>
        <w:rPr>
          <w:rFonts w:cs="Arial"/>
          <w:lang w:eastAsia="en-US"/>
        </w:rPr>
      </w:pPr>
      <w:r>
        <w:rPr>
          <w:rFonts w:cs="Arial"/>
          <w:lang w:eastAsia="en-US"/>
        </w:rPr>
        <w:t>Property</w:t>
      </w:r>
      <w:r w:rsidR="00D2034B">
        <w:rPr>
          <w:rFonts w:cs="Arial"/>
          <w:lang w:eastAsia="en-US"/>
        </w:rPr>
        <w:t>;</w:t>
      </w:r>
    </w:p>
    <w:p w:rsidR="00D2034B" w:rsidRDefault="00D2034B" w:rsidP="006F09A6">
      <w:pPr>
        <w:rPr>
          <w:rFonts w:cs="Arial"/>
          <w:lang w:eastAsia="en-US"/>
        </w:rPr>
      </w:pPr>
    </w:p>
    <w:p w:rsidR="00D2034B" w:rsidRDefault="00D2034B" w:rsidP="006F09A6">
      <w:pPr>
        <w:rPr>
          <w:rFonts w:cs="Arial"/>
          <w:lang w:eastAsia="en-US"/>
        </w:rPr>
      </w:pPr>
      <w:r>
        <w:rPr>
          <w:rFonts w:cs="Arial"/>
          <w:lang w:eastAsia="en-US"/>
        </w:rPr>
        <w:t xml:space="preserve">Cash; and </w:t>
      </w:r>
    </w:p>
    <w:p w:rsidR="00D2034B" w:rsidRDefault="00D2034B" w:rsidP="006F09A6">
      <w:pPr>
        <w:rPr>
          <w:rFonts w:cs="Arial"/>
          <w:lang w:eastAsia="en-US"/>
        </w:rPr>
      </w:pPr>
    </w:p>
    <w:p w:rsidR="00D2034B" w:rsidRDefault="00D2034B" w:rsidP="006F09A6">
      <w:pPr>
        <w:rPr>
          <w:rFonts w:cs="Arial"/>
          <w:lang w:eastAsia="en-US"/>
        </w:rPr>
      </w:pPr>
      <w:r>
        <w:rPr>
          <w:rFonts w:cs="Arial"/>
          <w:lang w:eastAsia="en-US"/>
        </w:rPr>
        <w:t>Commodities</w:t>
      </w:r>
    </w:p>
    <w:p w:rsidR="00D2034B" w:rsidRDefault="00D2034B" w:rsidP="006F09A6">
      <w:pPr>
        <w:rPr>
          <w:rFonts w:cs="Arial"/>
          <w:lang w:eastAsia="en-US"/>
        </w:rPr>
      </w:pPr>
    </w:p>
    <w:p w:rsidR="00D2034B" w:rsidRDefault="00D2034B" w:rsidP="006F09A6">
      <w:pPr>
        <w:rPr>
          <w:rFonts w:cs="Arial"/>
          <w:lang w:eastAsia="en-US"/>
        </w:rPr>
      </w:pPr>
      <w:r>
        <w:rPr>
          <w:rFonts w:cs="Arial"/>
          <w:lang w:eastAsia="en-US"/>
        </w:rPr>
        <w:t xml:space="preserve">Advice will include the management of foreign exchange risk and the use of financial derivatives where appropriate. </w:t>
      </w:r>
    </w:p>
    <w:p w:rsidR="009F6564" w:rsidRDefault="009F6564" w:rsidP="006F09A6">
      <w:pPr>
        <w:rPr>
          <w:rFonts w:cs="Arial"/>
          <w:lang w:eastAsia="en-US"/>
        </w:rPr>
      </w:pPr>
    </w:p>
    <w:p w:rsidR="009F6564" w:rsidRDefault="009F6564" w:rsidP="006F09A6">
      <w:pPr>
        <w:rPr>
          <w:rFonts w:cs="Arial"/>
          <w:lang w:eastAsia="en-US"/>
        </w:rPr>
      </w:pPr>
      <w:r>
        <w:rPr>
          <w:rFonts w:cs="Arial"/>
          <w:lang w:eastAsia="en-US"/>
        </w:rPr>
        <w:t>Advice on equities will involve the use of active and passive management styles, the use of public and private markets, and the choice of Investment Managers and pooled funds.</w:t>
      </w:r>
    </w:p>
    <w:p w:rsidR="009F6564" w:rsidRDefault="009F6564" w:rsidP="006F09A6">
      <w:pPr>
        <w:rPr>
          <w:rFonts w:cs="Arial"/>
          <w:lang w:eastAsia="en-US"/>
        </w:rPr>
      </w:pPr>
    </w:p>
    <w:p w:rsidR="009F6564" w:rsidRDefault="009F6564" w:rsidP="006F09A6">
      <w:pPr>
        <w:rPr>
          <w:rFonts w:cs="Arial"/>
          <w:lang w:eastAsia="en-US"/>
        </w:rPr>
      </w:pPr>
      <w:r>
        <w:rPr>
          <w:rFonts w:cs="Arial"/>
          <w:lang w:eastAsia="en-US"/>
        </w:rPr>
        <w:t>Advice on fixed interest and index linked securities will involve the use of investment grade and non-investment grade credit, and the choice of Investment Managers</w:t>
      </w:r>
      <w:r w:rsidR="00026D46">
        <w:rPr>
          <w:rFonts w:cs="Arial"/>
          <w:lang w:eastAsia="en-US"/>
        </w:rPr>
        <w:t>,</w:t>
      </w:r>
      <w:r>
        <w:rPr>
          <w:rFonts w:cs="Arial"/>
          <w:lang w:eastAsia="en-US"/>
        </w:rPr>
        <w:t xml:space="preserve"> pooled funds</w:t>
      </w:r>
      <w:r w:rsidR="00026D46">
        <w:rPr>
          <w:rFonts w:cs="Arial"/>
          <w:lang w:eastAsia="en-US"/>
        </w:rPr>
        <w:t xml:space="preserve"> and direct investment opportunities.</w:t>
      </w:r>
    </w:p>
    <w:p w:rsidR="009F6564" w:rsidRDefault="009F6564" w:rsidP="006F09A6">
      <w:pPr>
        <w:rPr>
          <w:rFonts w:cs="Arial"/>
          <w:lang w:eastAsia="en-US"/>
        </w:rPr>
      </w:pPr>
    </w:p>
    <w:p w:rsidR="009F6564" w:rsidRDefault="009F6564" w:rsidP="006F09A6">
      <w:pPr>
        <w:rPr>
          <w:rFonts w:cs="Arial"/>
          <w:lang w:eastAsia="en-US"/>
        </w:rPr>
      </w:pPr>
      <w:r>
        <w:rPr>
          <w:rFonts w:cs="Arial"/>
          <w:lang w:eastAsia="en-US"/>
        </w:rPr>
        <w:t>Property advice will include the direct acquisition of land and premises</w:t>
      </w:r>
      <w:r w:rsidR="00026D46">
        <w:rPr>
          <w:rFonts w:cs="Arial"/>
          <w:lang w:eastAsia="en-US"/>
        </w:rPr>
        <w:t xml:space="preserve">, </w:t>
      </w:r>
      <w:r>
        <w:rPr>
          <w:rFonts w:cs="Arial"/>
          <w:lang w:eastAsia="en-US"/>
        </w:rPr>
        <w:t>the development of such land</w:t>
      </w:r>
      <w:r w:rsidR="00026D46">
        <w:rPr>
          <w:rFonts w:cs="Arial"/>
          <w:lang w:eastAsia="en-US"/>
        </w:rPr>
        <w:t>, and</w:t>
      </w:r>
      <w:r>
        <w:rPr>
          <w:rFonts w:cs="Arial"/>
          <w:lang w:eastAsia="en-US"/>
        </w:rPr>
        <w:t xml:space="preserve"> improvements </w:t>
      </w:r>
      <w:proofErr w:type="gramStart"/>
      <w:r>
        <w:rPr>
          <w:rFonts w:cs="Arial"/>
          <w:lang w:eastAsia="en-US"/>
        </w:rPr>
        <w:t>and  refurbishment</w:t>
      </w:r>
      <w:proofErr w:type="gramEnd"/>
      <w:r>
        <w:rPr>
          <w:rFonts w:cs="Arial"/>
          <w:lang w:eastAsia="en-US"/>
        </w:rPr>
        <w:t xml:space="preserve"> of such premises.  It will also include the use of indirect pooled property investments.</w:t>
      </w:r>
    </w:p>
    <w:p w:rsidR="009F6564" w:rsidRDefault="009F6564" w:rsidP="006F09A6">
      <w:pPr>
        <w:rPr>
          <w:rFonts w:cs="Arial"/>
          <w:lang w:eastAsia="en-US"/>
        </w:rPr>
      </w:pPr>
    </w:p>
    <w:p w:rsidR="002608DA" w:rsidRDefault="002608DA" w:rsidP="006F09A6">
      <w:pPr>
        <w:rPr>
          <w:rFonts w:cs="Arial"/>
          <w:lang w:eastAsia="en-US"/>
        </w:rPr>
      </w:pPr>
      <w:r>
        <w:rPr>
          <w:rFonts w:cs="Arial"/>
          <w:lang w:eastAsia="en-US"/>
        </w:rPr>
        <w:t>Investments in infrastructure may be separately grouped, but they fall within the above categories.</w:t>
      </w:r>
    </w:p>
    <w:p w:rsidR="006F09A6" w:rsidRPr="008C7F7C" w:rsidRDefault="006F09A6" w:rsidP="006F09A6">
      <w:pPr>
        <w:jc w:val="both"/>
        <w:rPr>
          <w:rFonts w:cs="Arial"/>
          <w:szCs w:val="24"/>
        </w:rPr>
      </w:pPr>
    </w:p>
    <w:p w:rsidR="002608DA" w:rsidRDefault="002608DA">
      <w:pPr>
        <w:spacing w:after="200" w:line="276" w:lineRule="auto"/>
        <w:rPr>
          <w:rFonts w:cs="Arial"/>
          <w:b/>
          <w:snapToGrid w:val="0"/>
          <w:lang w:eastAsia="en-US"/>
        </w:rPr>
      </w:pPr>
      <w:r>
        <w:rPr>
          <w:rFonts w:cs="Arial"/>
        </w:rPr>
        <w:br w:type="page"/>
      </w:r>
    </w:p>
    <w:p w:rsidR="006F09A6" w:rsidRPr="008C7F7C" w:rsidRDefault="006F09A6" w:rsidP="006F09A6">
      <w:pPr>
        <w:pStyle w:val="Heading4"/>
        <w:jc w:val="both"/>
        <w:rPr>
          <w:rFonts w:cs="Arial"/>
          <w:u w:val="none"/>
        </w:rPr>
      </w:pPr>
      <w:r w:rsidRPr="008C7F7C">
        <w:rPr>
          <w:rFonts w:cs="Arial"/>
          <w:u w:val="none"/>
        </w:rPr>
        <w:lastRenderedPageBreak/>
        <w:t>Balance between Different Types of Investment</w:t>
      </w:r>
    </w:p>
    <w:p w:rsidR="006F09A6" w:rsidRPr="008C7F7C" w:rsidRDefault="006F09A6" w:rsidP="006F09A6">
      <w:pPr>
        <w:jc w:val="both"/>
        <w:rPr>
          <w:rFonts w:cs="Arial"/>
          <w:szCs w:val="24"/>
        </w:rPr>
      </w:pPr>
    </w:p>
    <w:p w:rsidR="006F09A6" w:rsidRPr="008C7F7C" w:rsidRDefault="006F09A6" w:rsidP="006F09A6">
      <w:pPr>
        <w:pStyle w:val="BodyTextIndent3"/>
        <w:ind w:left="0"/>
        <w:jc w:val="both"/>
        <w:rPr>
          <w:rFonts w:cs="Arial"/>
          <w:szCs w:val="24"/>
        </w:rPr>
      </w:pPr>
    </w:p>
    <w:p w:rsidR="006F09A6" w:rsidRPr="002608DA" w:rsidRDefault="006F09A6" w:rsidP="006F09A6">
      <w:pPr>
        <w:rPr>
          <w:rStyle w:val="Strong"/>
          <w:rFonts w:cs="Arial"/>
          <w:b w:val="0"/>
          <w:szCs w:val="24"/>
          <w:highlight w:val="yellow"/>
        </w:rPr>
      </w:pPr>
      <w:r w:rsidRPr="009954B6">
        <w:rPr>
          <w:rStyle w:val="Strong"/>
          <w:rFonts w:cs="Arial"/>
          <w:b w:val="0"/>
          <w:szCs w:val="24"/>
        </w:rPr>
        <w:t>The</w:t>
      </w:r>
      <w:r w:rsidR="009F6564" w:rsidRPr="006D2713">
        <w:rPr>
          <w:rStyle w:val="Strong"/>
          <w:rFonts w:cs="Arial"/>
          <w:b w:val="0"/>
          <w:szCs w:val="24"/>
        </w:rPr>
        <w:t xml:space="preserve"> </w:t>
      </w:r>
      <w:r w:rsidR="00DF290D" w:rsidRPr="006D2713">
        <w:rPr>
          <w:rStyle w:val="Strong"/>
          <w:rFonts w:cs="Arial"/>
          <w:b w:val="0"/>
          <w:szCs w:val="24"/>
        </w:rPr>
        <w:t>investment strategy</w:t>
      </w:r>
      <w:r w:rsidRPr="006D2713">
        <w:rPr>
          <w:rStyle w:val="Strong"/>
          <w:rFonts w:cs="Arial"/>
          <w:b w:val="0"/>
          <w:szCs w:val="24"/>
        </w:rPr>
        <w:t xml:space="preserve"> </w:t>
      </w:r>
      <w:r w:rsidR="00026D46" w:rsidRPr="006D2713">
        <w:rPr>
          <w:rStyle w:val="Strong"/>
          <w:rFonts w:cs="Arial"/>
          <w:b w:val="0"/>
          <w:szCs w:val="24"/>
        </w:rPr>
        <w:t xml:space="preserve">sets out </w:t>
      </w:r>
      <w:r w:rsidR="009F6564" w:rsidRPr="006D2713">
        <w:rPr>
          <w:rStyle w:val="Strong"/>
          <w:rFonts w:cs="Arial"/>
          <w:b w:val="0"/>
          <w:szCs w:val="24"/>
        </w:rPr>
        <w:t xml:space="preserve">a balance between different asset classes as </w:t>
      </w:r>
      <w:r w:rsidR="009F6564" w:rsidRPr="002608DA">
        <w:rPr>
          <w:rStyle w:val="Strong"/>
          <w:rFonts w:cs="Arial"/>
          <w:b w:val="0"/>
          <w:szCs w:val="24"/>
        </w:rPr>
        <w:t xml:space="preserve">follows:  </w:t>
      </w:r>
    </w:p>
    <w:p w:rsidR="006F09A6" w:rsidRPr="002608DA" w:rsidRDefault="006F09A6" w:rsidP="006F09A6">
      <w:pPr>
        <w:rPr>
          <w:rStyle w:val="Strong"/>
          <w:rFonts w:cs="Arial"/>
          <w:b w:val="0"/>
          <w:bCs w:val="0"/>
          <w:szCs w:val="24"/>
          <w:highlight w:val="yellow"/>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253"/>
      </w:tblGrid>
      <w:tr w:rsidR="006F09A6" w:rsidRPr="002608DA" w:rsidTr="00E84A8E">
        <w:tc>
          <w:tcPr>
            <w:tcW w:w="4536" w:type="dxa"/>
            <w:tcBorders>
              <w:top w:val="single" w:sz="4" w:space="0" w:color="auto"/>
              <w:left w:val="single" w:sz="4" w:space="0" w:color="auto"/>
              <w:bottom w:val="single" w:sz="4" w:space="0" w:color="auto"/>
              <w:right w:val="single" w:sz="4" w:space="0" w:color="auto"/>
            </w:tcBorders>
            <w:shd w:val="clear" w:color="auto" w:fill="F2F2F2"/>
            <w:hideMark/>
          </w:tcPr>
          <w:p w:rsidR="006F09A6" w:rsidRPr="002608DA" w:rsidRDefault="00283904" w:rsidP="00D27F9E">
            <w:pPr>
              <w:jc w:val="center"/>
              <w:rPr>
                <w:rStyle w:val="Strong"/>
                <w:rFonts w:cs="Arial"/>
                <w:b w:val="0"/>
                <w:bCs w:val="0"/>
                <w:szCs w:val="24"/>
              </w:rPr>
            </w:pPr>
            <w:r w:rsidRPr="002608DA">
              <w:rPr>
                <w:rStyle w:val="Strong"/>
                <w:rFonts w:cs="Arial"/>
                <w:b w:val="0"/>
                <w:szCs w:val="24"/>
              </w:rPr>
              <w:t>Asset Class</w:t>
            </w:r>
          </w:p>
        </w:tc>
        <w:tc>
          <w:tcPr>
            <w:tcW w:w="4253" w:type="dxa"/>
            <w:tcBorders>
              <w:top w:val="single" w:sz="4" w:space="0" w:color="auto"/>
              <w:left w:val="single" w:sz="4" w:space="0" w:color="auto"/>
              <w:bottom w:val="single" w:sz="4" w:space="0" w:color="auto"/>
              <w:right w:val="single" w:sz="4" w:space="0" w:color="auto"/>
            </w:tcBorders>
            <w:shd w:val="clear" w:color="auto" w:fill="F2F2F2"/>
          </w:tcPr>
          <w:p w:rsidR="006F09A6" w:rsidRPr="002608DA" w:rsidRDefault="00283904" w:rsidP="00D27F9E">
            <w:pPr>
              <w:jc w:val="center"/>
              <w:rPr>
                <w:rStyle w:val="Strong"/>
                <w:rFonts w:cs="Arial"/>
                <w:b w:val="0"/>
                <w:bCs w:val="0"/>
                <w:szCs w:val="24"/>
              </w:rPr>
            </w:pPr>
            <w:r w:rsidRPr="002608DA">
              <w:rPr>
                <w:rStyle w:val="Strong"/>
                <w:rFonts w:cs="Arial"/>
                <w:b w:val="0"/>
                <w:szCs w:val="24"/>
              </w:rPr>
              <w:t>Range %</w:t>
            </w:r>
          </w:p>
          <w:p w:rsidR="006F09A6" w:rsidRPr="002608DA" w:rsidRDefault="006F09A6" w:rsidP="00D27F9E">
            <w:pPr>
              <w:jc w:val="center"/>
              <w:rPr>
                <w:rStyle w:val="Strong"/>
                <w:rFonts w:cs="Arial"/>
                <w:b w:val="0"/>
                <w:bCs w:val="0"/>
                <w:szCs w:val="24"/>
              </w:rPr>
            </w:pPr>
          </w:p>
        </w:tc>
      </w:tr>
      <w:tr w:rsidR="006F09A6" w:rsidRPr="002608DA" w:rsidTr="00E84A8E">
        <w:trPr>
          <w:trHeight w:val="822"/>
        </w:trPr>
        <w:tc>
          <w:tcPr>
            <w:tcW w:w="4536" w:type="dxa"/>
            <w:tcBorders>
              <w:top w:val="single" w:sz="4" w:space="0" w:color="auto"/>
              <w:left w:val="single" w:sz="4" w:space="0" w:color="auto"/>
              <w:bottom w:val="single" w:sz="4" w:space="0" w:color="auto"/>
              <w:right w:val="single" w:sz="4" w:space="0" w:color="auto"/>
            </w:tcBorders>
            <w:vAlign w:val="center"/>
            <w:hideMark/>
          </w:tcPr>
          <w:p w:rsidR="006F09A6" w:rsidRPr="002608DA" w:rsidRDefault="00283904" w:rsidP="00D27F9E">
            <w:pPr>
              <w:jc w:val="center"/>
              <w:rPr>
                <w:rStyle w:val="Strong"/>
                <w:rFonts w:cs="Arial"/>
                <w:b w:val="0"/>
                <w:bCs w:val="0"/>
                <w:szCs w:val="24"/>
              </w:rPr>
            </w:pPr>
            <w:r w:rsidRPr="002608DA">
              <w:rPr>
                <w:rStyle w:val="Strong"/>
                <w:rFonts w:cs="Arial"/>
                <w:b w:val="0"/>
                <w:szCs w:val="24"/>
              </w:rPr>
              <w:t>Global Equities – Active and Passive, Physical and Index.</w:t>
            </w:r>
          </w:p>
          <w:p w:rsidR="006F09A6" w:rsidRPr="002608DA" w:rsidRDefault="00283904" w:rsidP="00D27F9E">
            <w:pPr>
              <w:jc w:val="center"/>
              <w:rPr>
                <w:rStyle w:val="Strong"/>
                <w:rFonts w:cs="Arial"/>
                <w:b w:val="0"/>
                <w:bCs w:val="0"/>
                <w:szCs w:val="24"/>
              </w:rPr>
            </w:pPr>
            <w:r w:rsidRPr="002608DA">
              <w:rPr>
                <w:rStyle w:val="Strong"/>
                <w:rFonts w:cs="Arial"/>
                <w:b w:val="0"/>
                <w:szCs w:val="24"/>
              </w:rPr>
              <w:t>Private and Publicly Quoted</w:t>
            </w:r>
          </w:p>
        </w:tc>
        <w:tc>
          <w:tcPr>
            <w:tcW w:w="4253" w:type="dxa"/>
            <w:tcBorders>
              <w:top w:val="single" w:sz="4" w:space="0" w:color="auto"/>
              <w:left w:val="single" w:sz="4" w:space="0" w:color="auto"/>
              <w:bottom w:val="single" w:sz="4" w:space="0" w:color="auto"/>
              <w:right w:val="single" w:sz="4" w:space="0" w:color="auto"/>
            </w:tcBorders>
            <w:vAlign w:val="center"/>
            <w:hideMark/>
          </w:tcPr>
          <w:p w:rsidR="006F09A6" w:rsidRPr="002608DA" w:rsidRDefault="00283904" w:rsidP="00D27F9E">
            <w:pPr>
              <w:jc w:val="center"/>
              <w:rPr>
                <w:rStyle w:val="Strong"/>
                <w:rFonts w:cs="Arial"/>
                <w:b w:val="0"/>
                <w:bCs w:val="0"/>
                <w:szCs w:val="24"/>
              </w:rPr>
            </w:pPr>
            <w:r w:rsidRPr="002608DA">
              <w:rPr>
                <w:rStyle w:val="Strong"/>
                <w:rFonts w:cs="Arial"/>
                <w:b w:val="0"/>
                <w:szCs w:val="24"/>
              </w:rPr>
              <w:t>40-60</w:t>
            </w:r>
          </w:p>
        </w:tc>
      </w:tr>
      <w:tr w:rsidR="006F09A6" w:rsidRPr="002608DA" w:rsidTr="00E84A8E">
        <w:tc>
          <w:tcPr>
            <w:tcW w:w="4536" w:type="dxa"/>
            <w:tcBorders>
              <w:top w:val="single" w:sz="4" w:space="0" w:color="auto"/>
              <w:left w:val="single" w:sz="4" w:space="0" w:color="auto"/>
              <w:bottom w:val="single" w:sz="4" w:space="0" w:color="auto"/>
              <w:right w:val="single" w:sz="4" w:space="0" w:color="auto"/>
            </w:tcBorders>
            <w:vAlign w:val="center"/>
          </w:tcPr>
          <w:p w:rsidR="006F09A6" w:rsidRPr="002608DA" w:rsidRDefault="006F09A6" w:rsidP="00D27F9E">
            <w:pPr>
              <w:jc w:val="center"/>
              <w:rPr>
                <w:rStyle w:val="Strong"/>
                <w:rFonts w:cs="Arial"/>
                <w:b w:val="0"/>
                <w:bCs w:val="0"/>
                <w:szCs w:val="24"/>
              </w:rPr>
            </w:pPr>
          </w:p>
          <w:p w:rsidR="006F09A6" w:rsidRPr="002608DA" w:rsidRDefault="00283904" w:rsidP="00D27F9E">
            <w:pPr>
              <w:jc w:val="center"/>
              <w:rPr>
                <w:rStyle w:val="Strong"/>
                <w:rFonts w:cs="Arial"/>
                <w:b w:val="0"/>
                <w:bCs w:val="0"/>
                <w:szCs w:val="24"/>
              </w:rPr>
            </w:pPr>
            <w:r w:rsidRPr="002608DA">
              <w:rPr>
                <w:rStyle w:val="Strong"/>
                <w:rFonts w:cs="Arial"/>
                <w:b w:val="0"/>
                <w:szCs w:val="24"/>
              </w:rPr>
              <w:t>Diversified Property –UK and Overseas.</w:t>
            </w:r>
          </w:p>
          <w:p w:rsidR="006F09A6" w:rsidRPr="002608DA" w:rsidRDefault="00283904" w:rsidP="00D27F9E">
            <w:pPr>
              <w:jc w:val="center"/>
              <w:rPr>
                <w:rStyle w:val="Strong"/>
                <w:rFonts w:cs="Arial"/>
                <w:b w:val="0"/>
                <w:bCs w:val="0"/>
                <w:szCs w:val="24"/>
              </w:rPr>
            </w:pPr>
            <w:r w:rsidRPr="002608DA">
              <w:rPr>
                <w:rStyle w:val="Strong"/>
                <w:rFonts w:cs="Arial"/>
                <w:b w:val="0"/>
                <w:szCs w:val="24"/>
              </w:rPr>
              <w:t>Direct and indirect.</w:t>
            </w:r>
          </w:p>
          <w:p w:rsidR="006F09A6" w:rsidRPr="002608DA" w:rsidRDefault="006F09A6" w:rsidP="00D27F9E">
            <w:pPr>
              <w:jc w:val="center"/>
              <w:rPr>
                <w:rStyle w:val="Strong"/>
                <w:rFonts w:cs="Arial"/>
                <w:b w:val="0"/>
                <w:bCs w:val="0"/>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6F09A6" w:rsidRPr="002608DA" w:rsidRDefault="00283904" w:rsidP="00D27F9E">
            <w:pPr>
              <w:jc w:val="center"/>
              <w:rPr>
                <w:rStyle w:val="Strong"/>
                <w:rFonts w:cs="Arial"/>
                <w:b w:val="0"/>
                <w:bCs w:val="0"/>
                <w:szCs w:val="24"/>
              </w:rPr>
            </w:pPr>
            <w:r w:rsidRPr="002608DA">
              <w:rPr>
                <w:rStyle w:val="Strong"/>
                <w:rFonts w:cs="Arial"/>
                <w:b w:val="0"/>
                <w:szCs w:val="24"/>
              </w:rPr>
              <w:t>10-20</w:t>
            </w:r>
          </w:p>
        </w:tc>
      </w:tr>
      <w:tr w:rsidR="006F09A6" w:rsidRPr="002608DA" w:rsidTr="00E84A8E">
        <w:tc>
          <w:tcPr>
            <w:tcW w:w="4536" w:type="dxa"/>
            <w:tcBorders>
              <w:top w:val="single" w:sz="4" w:space="0" w:color="auto"/>
              <w:left w:val="single" w:sz="4" w:space="0" w:color="auto"/>
              <w:bottom w:val="single" w:sz="4" w:space="0" w:color="auto"/>
              <w:right w:val="single" w:sz="4" w:space="0" w:color="auto"/>
            </w:tcBorders>
            <w:vAlign w:val="center"/>
          </w:tcPr>
          <w:p w:rsidR="006F09A6" w:rsidRPr="002608DA" w:rsidRDefault="006F09A6" w:rsidP="00D27F9E">
            <w:pPr>
              <w:jc w:val="center"/>
              <w:rPr>
                <w:rStyle w:val="Strong"/>
                <w:rFonts w:cs="Arial"/>
                <w:b w:val="0"/>
                <w:szCs w:val="24"/>
              </w:rPr>
            </w:pPr>
          </w:p>
          <w:p w:rsidR="006F09A6" w:rsidRPr="002608DA" w:rsidRDefault="00283904" w:rsidP="00E84A8E">
            <w:pPr>
              <w:jc w:val="center"/>
              <w:rPr>
                <w:rStyle w:val="Strong"/>
                <w:rFonts w:cs="Arial"/>
                <w:b w:val="0"/>
                <w:bCs w:val="0"/>
                <w:szCs w:val="24"/>
              </w:rPr>
            </w:pPr>
            <w:r w:rsidRPr="002608DA">
              <w:rPr>
                <w:rStyle w:val="Strong"/>
                <w:rFonts w:cs="Arial"/>
                <w:b w:val="0"/>
                <w:szCs w:val="24"/>
              </w:rPr>
              <w:t>Lower Volatility Strategies -</w:t>
            </w:r>
          </w:p>
          <w:p w:rsidR="006F09A6" w:rsidRPr="002608DA" w:rsidRDefault="006F09A6" w:rsidP="00D27F9E">
            <w:pPr>
              <w:jc w:val="center"/>
              <w:rPr>
                <w:rStyle w:val="Strong"/>
                <w:rFonts w:cs="Arial"/>
                <w:b w:val="0"/>
                <w:iCs/>
                <w:szCs w:val="24"/>
              </w:rPr>
            </w:pPr>
          </w:p>
          <w:p w:rsidR="006F09A6" w:rsidRPr="002608DA" w:rsidRDefault="00283904" w:rsidP="00D27F9E">
            <w:pPr>
              <w:jc w:val="center"/>
              <w:rPr>
                <w:rStyle w:val="Strong"/>
                <w:rFonts w:cs="Arial"/>
                <w:b w:val="0"/>
                <w:bCs w:val="0"/>
                <w:i/>
                <w:iCs/>
                <w:szCs w:val="24"/>
              </w:rPr>
            </w:pPr>
            <w:r w:rsidRPr="002608DA">
              <w:rPr>
                <w:rStyle w:val="Strong"/>
                <w:rFonts w:cs="Arial"/>
                <w:b w:val="0"/>
                <w:iCs/>
                <w:szCs w:val="24"/>
              </w:rPr>
              <w:t>(including but not exclusively, Fixed Income, PFI, Credit strategies,</w:t>
            </w:r>
          </w:p>
          <w:p w:rsidR="006F09A6" w:rsidRPr="002608DA" w:rsidRDefault="00283904" w:rsidP="00D27F9E">
            <w:pPr>
              <w:jc w:val="center"/>
              <w:rPr>
                <w:rStyle w:val="Strong"/>
                <w:rFonts w:cs="Arial"/>
                <w:b w:val="0"/>
                <w:bCs w:val="0"/>
                <w:i/>
                <w:iCs/>
                <w:szCs w:val="24"/>
              </w:rPr>
            </w:pPr>
            <w:r w:rsidRPr="002608DA">
              <w:rPr>
                <w:rStyle w:val="Strong"/>
                <w:rFonts w:cs="Arial"/>
                <w:b w:val="0"/>
                <w:iCs/>
                <w:szCs w:val="24"/>
              </w:rPr>
              <w:t>Infrastructure, Currency, Commodities,</w:t>
            </w:r>
          </w:p>
          <w:p w:rsidR="006F09A6" w:rsidRPr="002608DA" w:rsidRDefault="00283904" w:rsidP="00D27F9E">
            <w:pPr>
              <w:jc w:val="center"/>
              <w:rPr>
                <w:rStyle w:val="Strong"/>
                <w:rFonts w:cs="Arial"/>
                <w:b w:val="0"/>
                <w:bCs w:val="0"/>
                <w:i/>
                <w:iCs/>
                <w:szCs w:val="24"/>
              </w:rPr>
            </w:pPr>
            <w:r w:rsidRPr="002608DA">
              <w:rPr>
                <w:rStyle w:val="Strong"/>
                <w:rFonts w:cs="Arial"/>
                <w:b w:val="0"/>
                <w:iCs/>
                <w:szCs w:val="24"/>
              </w:rPr>
              <w:t>Absolute Return, Cash, funds and index,</w:t>
            </w:r>
          </w:p>
          <w:p w:rsidR="006F09A6" w:rsidRPr="002608DA" w:rsidRDefault="00283904" w:rsidP="00D27F9E">
            <w:pPr>
              <w:jc w:val="center"/>
              <w:rPr>
                <w:rStyle w:val="Strong"/>
                <w:rFonts w:cs="Arial"/>
                <w:b w:val="0"/>
                <w:bCs w:val="0"/>
                <w:i/>
                <w:iCs/>
                <w:szCs w:val="24"/>
              </w:rPr>
            </w:pPr>
            <w:r w:rsidRPr="002608DA">
              <w:rPr>
                <w:rStyle w:val="Strong"/>
                <w:rFonts w:cs="Arial"/>
                <w:b w:val="0"/>
                <w:iCs/>
                <w:szCs w:val="24"/>
              </w:rPr>
              <w:t>Local development/PPP type allocations)</w:t>
            </w:r>
          </w:p>
          <w:p w:rsidR="006F09A6" w:rsidRPr="002608DA" w:rsidRDefault="006F09A6" w:rsidP="00D27F9E">
            <w:pPr>
              <w:jc w:val="center"/>
              <w:rPr>
                <w:rStyle w:val="Strong"/>
                <w:rFonts w:cs="Arial"/>
                <w:b w:val="0"/>
                <w:bCs w:val="0"/>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6F09A6" w:rsidRPr="002608DA" w:rsidRDefault="00283904" w:rsidP="00D27F9E">
            <w:pPr>
              <w:jc w:val="center"/>
              <w:rPr>
                <w:rStyle w:val="Strong"/>
                <w:rFonts w:cs="Arial"/>
                <w:b w:val="0"/>
                <w:bCs w:val="0"/>
                <w:szCs w:val="24"/>
              </w:rPr>
            </w:pPr>
            <w:r w:rsidRPr="002608DA">
              <w:rPr>
                <w:rStyle w:val="Strong"/>
                <w:rFonts w:cs="Arial"/>
                <w:b w:val="0"/>
                <w:szCs w:val="24"/>
              </w:rPr>
              <w:t>20-40</w:t>
            </w:r>
          </w:p>
        </w:tc>
      </w:tr>
    </w:tbl>
    <w:p w:rsidR="006F09A6" w:rsidRPr="002608DA" w:rsidRDefault="006F09A6" w:rsidP="006F09A6">
      <w:pPr>
        <w:pStyle w:val="BodyTextIndent3"/>
        <w:tabs>
          <w:tab w:val="left" w:pos="0"/>
        </w:tabs>
        <w:ind w:left="0"/>
        <w:rPr>
          <w:rStyle w:val="Strong"/>
          <w:rFonts w:cs="Arial"/>
          <w:b w:val="0"/>
          <w:szCs w:val="24"/>
          <w:highlight w:val="yellow"/>
        </w:rPr>
      </w:pPr>
    </w:p>
    <w:p w:rsidR="009F6564" w:rsidRDefault="009F6564" w:rsidP="009F6564">
      <w:pPr>
        <w:pStyle w:val="BodyTextIndent3"/>
        <w:ind w:left="0"/>
        <w:rPr>
          <w:rFonts w:cs="Arial"/>
        </w:rPr>
      </w:pPr>
      <w:r w:rsidRPr="008C7F7C">
        <w:rPr>
          <w:rFonts w:cs="Arial"/>
        </w:rPr>
        <w:t xml:space="preserve">The </w:t>
      </w:r>
      <w:r w:rsidR="000064C6">
        <w:rPr>
          <w:rFonts w:cs="Arial"/>
        </w:rPr>
        <w:t xml:space="preserve">Active Public </w:t>
      </w:r>
      <w:r>
        <w:rPr>
          <w:rFonts w:cs="Arial"/>
        </w:rPr>
        <w:t>Equity and Fixed Interest M</w:t>
      </w:r>
      <w:r w:rsidRPr="008C7F7C">
        <w:rPr>
          <w:rFonts w:cs="Arial"/>
        </w:rPr>
        <w:t xml:space="preserve">anagers have full discretion to invest within each investment category subject to statutory limits and any asset allocation ranges around the benchmark, agreed between the Investment Panel and the </w:t>
      </w:r>
      <w:r>
        <w:rPr>
          <w:rFonts w:cs="Arial"/>
        </w:rPr>
        <w:t>M</w:t>
      </w:r>
      <w:r w:rsidRPr="008C7F7C">
        <w:rPr>
          <w:rFonts w:cs="Arial"/>
        </w:rPr>
        <w:t>anagers. The Property Manager's mandate is advisory with final decisions being taken by the Treasurer to the Fund based upon that advice.</w:t>
      </w:r>
    </w:p>
    <w:p w:rsidR="009F6564" w:rsidRDefault="009F6564" w:rsidP="009F6564">
      <w:pPr>
        <w:pStyle w:val="BodyTextIndent3"/>
        <w:ind w:left="0"/>
        <w:rPr>
          <w:rFonts w:cs="Arial"/>
        </w:rPr>
      </w:pPr>
    </w:p>
    <w:p w:rsidR="009F6564" w:rsidRPr="008C7F7C" w:rsidRDefault="009F6564" w:rsidP="009F6564">
      <w:pPr>
        <w:pStyle w:val="BodyTextIndent3"/>
        <w:ind w:left="0"/>
      </w:pPr>
      <w:r>
        <w:rPr>
          <w:rFonts w:cs="Arial"/>
        </w:rPr>
        <w:t>With pooled funds, the manager of the investment fund operates within the constraints imposed by the constitution of the pooled fund, as reviewed and approved by the Investment Panel.</w:t>
      </w:r>
    </w:p>
    <w:p w:rsidR="006F09A6" w:rsidRPr="000946DA" w:rsidRDefault="006F09A6" w:rsidP="006F09A6">
      <w:pPr>
        <w:pStyle w:val="BodyText"/>
        <w:rPr>
          <w:rFonts w:cs="Arial"/>
          <w:szCs w:val="24"/>
        </w:rPr>
      </w:pPr>
    </w:p>
    <w:p w:rsidR="006F09A6" w:rsidRPr="006D2713" w:rsidRDefault="006F09A6" w:rsidP="006F09A6">
      <w:pPr>
        <w:pStyle w:val="BodyText"/>
        <w:rPr>
          <w:b w:val="0"/>
          <w:u w:val="single"/>
        </w:rPr>
      </w:pPr>
      <w:r w:rsidRPr="006D2713">
        <w:rPr>
          <w:rFonts w:cs="Arial"/>
          <w:b w:val="0"/>
          <w:u w:val="single"/>
        </w:rPr>
        <w:t>Investment Limits imposed under the Local Government Pension Scheme (Management and Investment of Fund’s) (Amendment) Regulations 2003</w:t>
      </w:r>
    </w:p>
    <w:p w:rsidR="006F09A6" w:rsidRPr="000946DA" w:rsidRDefault="006F09A6" w:rsidP="006F09A6">
      <w:pPr>
        <w:rPr>
          <w:rFonts w:cs="Arial"/>
          <w:szCs w:val="24"/>
        </w:rPr>
      </w:pPr>
    </w:p>
    <w:p w:rsidR="006F09A6" w:rsidRPr="000946DA" w:rsidRDefault="006F09A6" w:rsidP="006F09A6">
      <w:r w:rsidRPr="000946DA">
        <w:rPr>
          <w:rFonts w:cs="Arial"/>
        </w:rPr>
        <w:t>The limits shown in Column 1</w:t>
      </w:r>
      <w:r w:rsidR="002608DA">
        <w:rPr>
          <w:rFonts w:cs="Arial"/>
        </w:rPr>
        <w:t xml:space="preserve"> below</w:t>
      </w:r>
      <w:r w:rsidRPr="000946DA">
        <w:rPr>
          <w:rFonts w:cs="Arial"/>
        </w:rPr>
        <w:t xml:space="preserve"> are those laid down under the 1998 Regulations.  The limits in Column 2 are those allowed under the 2003 </w:t>
      </w:r>
      <w:r w:rsidR="00B45DAE">
        <w:rPr>
          <w:rFonts w:cs="Arial"/>
        </w:rPr>
        <w:t xml:space="preserve">and 2005 </w:t>
      </w:r>
      <w:r w:rsidRPr="000946DA">
        <w:rPr>
          <w:rFonts w:cs="Arial"/>
        </w:rPr>
        <w:t>Regulations and may be used by Local Authority Pension Funds if, following proper advice, they have sought approval by their Pension Fund Committees for the increases and the reasons for adopting the increases are detailed in the Statement of Investment Principles.</w:t>
      </w:r>
    </w:p>
    <w:p w:rsidR="006F09A6" w:rsidRPr="000946DA" w:rsidRDefault="006F09A6" w:rsidP="006F09A6">
      <w:pPr>
        <w:jc w:val="both"/>
        <w:rPr>
          <w:rFonts w:cs="Arial"/>
          <w:color w:val="0000FF"/>
          <w:szCs w:val="24"/>
        </w:rPr>
      </w:pPr>
    </w:p>
    <w:p w:rsidR="006F09A6" w:rsidRPr="00F332F8" w:rsidRDefault="006F09A6" w:rsidP="006F09A6">
      <w:pPr>
        <w:pStyle w:val="Header"/>
        <w:rPr>
          <w:color w:val="0000FF"/>
          <w:sz w:val="16"/>
          <w:highlight w:val="yellow"/>
        </w:rPr>
      </w:pPr>
      <w:r w:rsidRPr="000946DA">
        <w:rPr>
          <w:rFonts w:cs="Arial"/>
        </w:rPr>
        <w:t>The Fund's Investment Panel and Pension Fund Committee ha</w:t>
      </w:r>
      <w:r w:rsidR="008C0F29">
        <w:rPr>
          <w:rFonts w:cs="Arial"/>
        </w:rPr>
        <w:t>ve</w:t>
      </w:r>
      <w:r w:rsidRPr="000946DA">
        <w:rPr>
          <w:rFonts w:cs="Arial"/>
        </w:rPr>
        <w:t xml:space="preserve"> reviewed the 1998 Regulations limits and have adopted the increased limits for any single insurance contract and also for all contributions to partnerships.  </w:t>
      </w:r>
    </w:p>
    <w:p w:rsidR="006F09A6" w:rsidRPr="00F332F8" w:rsidRDefault="006F09A6" w:rsidP="006F09A6">
      <w:pPr>
        <w:pStyle w:val="Header"/>
        <w:rPr>
          <w:rFonts w:cs="Arial"/>
          <w:color w:val="0000FF"/>
          <w:sz w:val="16"/>
          <w:highlight w:val="yellow"/>
        </w:rPr>
      </w:pPr>
    </w:p>
    <w:p w:rsidR="006F09A6" w:rsidRPr="00B53B26" w:rsidRDefault="006F09A6" w:rsidP="006F09A6">
      <w:pPr>
        <w:pStyle w:val="Header"/>
        <w:rPr>
          <w:rFonts w:cs="Arial"/>
          <w:color w:val="0000FF"/>
          <w:sz w:val="16"/>
          <w:highlight w:val="yellow"/>
        </w:rPr>
      </w:pPr>
    </w:p>
    <w:tbl>
      <w:tblPr>
        <w:tblW w:w="8760" w:type="dxa"/>
        <w:tblLayout w:type="fixed"/>
        <w:tblLook w:val="04A0"/>
      </w:tblPr>
      <w:tblGrid>
        <w:gridCol w:w="4647"/>
        <w:gridCol w:w="1986"/>
        <w:gridCol w:w="2127"/>
      </w:tblGrid>
      <w:tr w:rsidR="006F09A6" w:rsidRPr="00B53B26" w:rsidTr="00D27F9E">
        <w:trPr>
          <w:trHeight w:val="219"/>
          <w:tblHeader/>
        </w:trPr>
        <w:tc>
          <w:tcPr>
            <w:tcW w:w="4644" w:type="dxa"/>
            <w:tcBorders>
              <w:top w:val="single" w:sz="4" w:space="0" w:color="auto"/>
              <w:left w:val="single" w:sz="4" w:space="0" w:color="auto"/>
              <w:bottom w:val="nil"/>
              <w:right w:val="nil"/>
            </w:tcBorders>
            <w:shd w:val="clear" w:color="auto" w:fill="F2F2F2"/>
          </w:tcPr>
          <w:p w:rsidR="006F09A6" w:rsidRPr="00FF3422" w:rsidRDefault="006F09A6" w:rsidP="00D27F9E">
            <w:pPr>
              <w:rPr>
                <w:rFonts w:cs="Arial"/>
                <w:sz w:val="20"/>
              </w:rPr>
            </w:pPr>
          </w:p>
        </w:tc>
        <w:tc>
          <w:tcPr>
            <w:tcW w:w="1985" w:type="dxa"/>
            <w:tcBorders>
              <w:top w:val="single" w:sz="4" w:space="0" w:color="auto"/>
              <w:left w:val="single" w:sz="4" w:space="0" w:color="auto"/>
              <w:bottom w:val="nil"/>
              <w:right w:val="single" w:sz="4" w:space="0" w:color="auto"/>
            </w:tcBorders>
            <w:shd w:val="clear" w:color="auto" w:fill="F2F2F2"/>
            <w:hideMark/>
          </w:tcPr>
          <w:p w:rsidR="006F09A6" w:rsidRPr="00FF3422" w:rsidRDefault="006F09A6" w:rsidP="00D27F9E">
            <w:pPr>
              <w:jc w:val="center"/>
              <w:rPr>
                <w:rFonts w:cs="Arial"/>
                <w:b/>
                <w:sz w:val="20"/>
              </w:rPr>
            </w:pPr>
            <w:r w:rsidRPr="00FF3422">
              <w:rPr>
                <w:rFonts w:cs="Arial"/>
                <w:b/>
                <w:sz w:val="20"/>
              </w:rPr>
              <w:t>Column (1)</w:t>
            </w:r>
          </w:p>
        </w:tc>
        <w:tc>
          <w:tcPr>
            <w:tcW w:w="2126" w:type="dxa"/>
            <w:tcBorders>
              <w:top w:val="single" w:sz="4" w:space="0" w:color="auto"/>
              <w:left w:val="nil"/>
              <w:bottom w:val="nil"/>
              <w:right w:val="single" w:sz="4" w:space="0" w:color="auto"/>
            </w:tcBorders>
            <w:shd w:val="clear" w:color="auto" w:fill="F2F2F2"/>
            <w:hideMark/>
          </w:tcPr>
          <w:p w:rsidR="006F09A6" w:rsidRPr="00FF3422" w:rsidRDefault="006F09A6" w:rsidP="00D27F9E">
            <w:pPr>
              <w:jc w:val="center"/>
              <w:rPr>
                <w:rFonts w:cs="Arial"/>
                <w:b/>
                <w:sz w:val="20"/>
              </w:rPr>
            </w:pPr>
            <w:r w:rsidRPr="00FF3422">
              <w:rPr>
                <w:rFonts w:cs="Arial"/>
                <w:b/>
                <w:sz w:val="20"/>
              </w:rPr>
              <w:t>Column (2)</w:t>
            </w:r>
          </w:p>
        </w:tc>
      </w:tr>
      <w:tr w:rsidR="006F09A6" w:rsidRPr="00B53B26" w:rsidTr="00D27F9E">
        <w:trPr>
          <w:tblHeader/>
        </w:trPr>
        <w:tc>
          <w:tcPr>
            <w:tcW w:w="4644" w:type="dxa"/>
            <w:tcBorders>
              <w:top w:val="nil"/>
              <w:left w:val="single" w:sz="4" w:space="0" w:color="auto"/>
              <w:bottom w:val="single" w:sz="4" w:space="0" w:color="auto"/>
              <w:right w:val="nil"/>
            </w:tcBorders>
            <w:shd w:val="clear" w:color="auto" w:fill="F2F2F2"/>
          </w:tcPr>
          <w:p w:rsidR="006F09A6" w:rsidRPr="00FF3422" w:rsidRDefault="006F09A6" w:rsidP="00D27F9E">
            <w:pPr>
              <w:pStyle w:val="Header"/>
              <w:rPr>
                <w:rFonts w:cs="Arial"/>
                <w:sz w:val="20"/>
              </w:rPr>
            </w:pPr>
          </w:p>
        </w:tc>
        <w:tc>
          <w:tcPr>
            <w:tcW w:w="1985" w:type="dxa"/>
            <w:tcBorders>
              <w:top w:val="nil"/>
              <w:left w:val="single" w:sz="4" w:space="0" w:color="auto"/>
              <w:bottom w:val="single" w:sz="4" w:space="0" w:color="auto"/>
              <w:right w:val="single" w:sz="4" w:space="0" w:color="auto"/>
            </w:tcBorders>
            <w:shd w:val="clear" w:color="auto" w:fill="F2F2F2"/>
            <w:hideMark/>
          </w:tcPr>
          <w:p w:rsidR="006F09A6" w:rsidRPr="00FF3422" w:rsidRDefault="006F09A6" w:rsidP="00D27F9E">
            <w:pPr>
              <w:jc w:val="center"/>
              <w:rPr>
                <w:rFonts w:cs="Arial"/>
                <w:b/>
                <w:sz w:val="20"/>
              </w:rPr>
            </w:pPr>
            <w:r w:rsidRPr="00FF3422">
              <w:rPr>
                <w:rFonts w:cs="Arial"/>
                <w:b/>
                <w:sz w:val="20"/>
              </w:rPr>
              <w:t>Limits under regulation 14 (2)</w:t>
            </w:r>
          </w:p>
        </w:tc>
        <w:tc>
          <w:tcPr>
            <w:tcW w:w="2126" w:type="dxa"/>
            <w:tcBorders>
              <w:top w:val="nil"/>
              <w:left w:val="nil"/>
              <w:bottom w:val="single" w:sz="4" w:space="0" w:color="auto"/>
              <w:right w:val="single" w:sz="4" w:space="0" w:color="auto"/>
            </w:tcBorders>
            <w:shd w:val="clear" w:color="auto" w:fill="F2F2F2"/>
            <w:hideMark/>
          </w:tcPr>
          <w:p w:rsidR="006F09A6" w:rsidRPr="00FF3422" w:rsidRDefault="006F09A6" w:rsidP="00D27F9E">
            <w:pPr>
              <w:jc w:val="center"/>
              <w:rPr>
                <w:rFonts w:cs="Arial"/>
                <w:b/>
                <w:sz w:val="20"/>
              </w:rPr>
            </w:pPr>
            <w:r w:rsidRPr="00FF3422">
              <w:rPr>
                <w:rFonts w:cs="Arial"/>
                <w:b/>
                <w:sz w:val="20"/>
              </w:rPr>
              <w:t>Limits under regulation 14 (3)</w:t>
            </w:r>
          </w:p>
        </w:tc>
      </w:tr>
      <w:tr w:rsidR="006F09A6" w:rsidRPr="00B53B26" w:rsidTr="00D27F9E">
        <w:trPr>
          <w:trHeight w:val="414"/>
        </w:trPr>
        <w:tc>
          <w:tcPr>
            <w:tcW w:w="4644" w:type="dxa"/>
            <w:tcBorders>
              <w:top w:val="single" w:sz="4" w:space="0" w:color="auto"/>
              <w:left w:val="single" w:sz="4" w:space="0" w:color="auto"/>
              <w:bottom w:val="nil"/>
              <w:right w:val="nil"/>
            </w:tcBorders>
            <w:vAlign w:val="center"/>
            <w:hideMark/>
          </w:tcPr>
          <w:p w:rsidR="006F09A6" w:rsidRPr="00FF3422" w:rsidRDefault="006F09A6" w:rsidP="006F09A6">
            <w:pPr>
              <w:numPr>
                <w:ilvl w:val="0"/>
                <w:numId w:val="8"/>
              </w:numPr>
              <w:tabs>
                <w:tab w:val="clear" w:pos="360"/>
                <w:tab w:val="left" w:pos="342"/>
              </w:tabs>
              <w:rPr>
                <w:sz w:val="20"/>
              </w:rPr>
            </w:pPr>
            <w:r w:rsidRPr="00FF3422">
              <w:rPr>
                <w:sz w:val="20"/>
              </w:rPr>
              <w:t>Any single sub-underwriting contract.</w:t>
            </w:r>
          </w:p>
        </w:tc>
        <w:tc>
          <w:tcPr>
            <w:tcW w:w="1985" w:type="dxa"/>
            <w:tcBorders>
              <w:top w:val="single" w:sz="4" w:space="0" w:color="auto"/>
              <w:left w:val="single" w:sz="4" w:space="0" w:color="auto"/>
              <w:bottom w:val="nil"/>
              <w:right w:val="single" w:sz="4" w:space="0" w:color="auto"/>
            </w:tcBorders>
            <w:vAlign w:val="center"/>
            <w:hideMark/>
          </w:tcPr>
          <w:p w:rsidR="006F09A6" w:rsidRPr="00FF3422" w:rsidRDefault="006F09A6" w:rsidP="00D27F9E">
            <w:pPr>
              <w:jc w:val="center"/>
              <w:rPr>
                <w:rFonts w:cs="Arial"/>
                <w:sz w:val="20"/>
              </w:rPr>
            </w:pPr>
            <w:r w:rsidRPr="00FF3422">
              <w:rPr>
                <w:rFonts w:cs="Arial"/>
                <w:sz w:val="20"/>
              </w:rPr>
              <w:t>1%</w:t>
            </w:r>
          </w:p>
        </w:tc>
        <w:tc>
          <w:tcPr>
            <w:tcW w:w="2126" w:type="dxa"/>
            <w:tcBorders>
              <w:top w:val="single" w:sz="4" w:space="0" w:color="auto"/>
              <w:left w:val="nil"/>
              <w:bottom w:val="nil"/>
              <w:right w:val="single" w:sz="4" w:space="0" w:color="auto"/>
            </w:tcBorders>
            <w:vAlign w:val="center"/>
            <w:hideMark/>
          </w:tcPr>
          <w:p w:rsidR="006F09A6" w:rsidRPr="00FF3422" w:rsidRDefault="006F09A6" w:rsidP="00D27F9E">
            <w:pPr>
              <w:jc w:val="center"/>
              <w:rPr>
                <w:rFonts w:cs="Arial"/>
                <w:sz w:val="20"/>
              </w:rPr>
            </w:pPr>
            <w:r w:rsidRPr="00FF3422">
              <w:rPr>
                <w:rFonts w:cs="Arial"/>
                <w:sz w:val="20"/>
              </w:rPr>
              <w:t>5%</w:t>
            </w:r>
          </w:p>
        </w:tc>
      </w:tr>
      <w:tr w:rsidR="006F09A6" w:rsidRPr="00B53B26" w:rsidTr="00D27F9E">
        <w:trPr>
          <w:trHeight w:val="301"/>
        </w:trPr>
        <w:tc>
          <w:tcPr>
            <w:tcW w:w="4644" w:type="dxa"/>
            <w:tcBorders>
              <w:top w:val="nil"/>
              <w:left w:val="single" w:sz="4" w:space="0" w:color="auto"/>
              <w:bottom w:val="nil"/>
              <w:right w:val="nil"/>
            </w:tcBorders>
            <w:vAlign w:val="center"/>
            <w:hideMark/>
          </w:tcPr>
          <w:p w:rsidR="006F09A6" w:rsidRPr="00FF3422" w:rsidRDefault="006F09A6" w:rsidP="006F09A6">
            <w:pPr>
              <w:numPr>
                <w:ilvl w:val="0"/>
                <w:numId w:val="8"/>
              </w:numPr>
              <w:tabs>
                <w:tab w:val="clear" w:pos="360"/>
                <w:tab w:val="left" w:pos="342"/>
              </w:tabs>
              <w:rPr>
                <w:sz w:val="20"/>
              </w:rPr>
            </w:pPr>
            <w:r w:rsidRPr="00FF3422">
              <w:rPr>
                <w:sz w:val="20"/>
              </w:rPr>
              <w:t>All contributions to any single partnership.</w:t>
            </w:r>
          </w:p>
        </w:tc>
        <w:tc>
          <w:tcPr>
            <w:tcW w:w="1985" w:type="dxa"/>
            <w:tcBorders>
              <w:top w:val="nil"/>
              <w:left w:val="single" w:sz="4" w:space="0" w:color="auto"/>
              <w:bottom w:val="nil"/>
              <w:right w:val="single" w:sz="4" w:space="0" w:color="auto"/>
            </w:tcBorders>
            <w:vAlign w:val="center"/>
            <w:hideMark/>
          </w:tcPr>
          <w:p w:rsidR="006F09A6" w:rsidRPr="00FF3422" w:rsidRDefault="006F09A6" w:rsidP="00D27F9E">
            <w:pPr>
              <w:jc w:val="center"/>
              <w:rPr>
                <w:rFonts w:cs="Arial"/>
                <w:sz w:val="20"/>
              </w:rPr>
            </w:pPr>
            <w:r w:rsidRPr="00FF3422">
              <w:rPr>
                <w:rFonts w:cs="Arial"/>
                <w:sz w:val="20"/>
              </w:rPr>
              <w:t>2%</w:t>
            </w:r>
          </w:p>
        </w:tc>
        <w:tc>
          <w:tcPr>
            <w:tcW w:w="2126" w:type="dxa"/>
            <w:tcBorders>
              <w:top w:val="nil"/>
              <w:left w:val="nil"/>
              <w:bottom w:val="nil"/>
              <w:right w:val="single" w:sz="4" w:space="0" w:color="auto"/>
            </w:tcBorders>
            <w:vAlign w:val="center"/>
            <w:hideMark/>
          </w:tcPr>
          <w:p w:rsidR="006F09A6" w:rsidRPr="00FF3422" w:rsidRDefault="006F09A6" w:rsidP="00D27F9E">
            <w:pPr>
              <w:jc w:val="center"/>
              <w:rPr>
                <w:rFonts w:cs="Arial"/>
                <w:sz w:val="20"/>
              </w:rPr>
            </w:pPr>
            <w:r w:rsidRPr="00FF3422">
              <w:rPr>
                <w:rFonts w:cs="Arial"/>
                <w:sz w:val="20"/>
              </w:rPr>
              <w:t>5%</w:t>
            </w:r>
          </w:p>
        </w:tc>
      </w:tr>
      <w:tr w:rsidR="006F09A6" w:rsidRPr="00B53B26" w:rsidTr="00D27F9E">
        <w:trPr>
          <w:trHeight w:val="432"/>
        </w:trPr>
        <w:tc>
          <w:tcPr>
            <w:tcW w:w="4644" w:type="dxa"/>
            <w:tcBorders>
              <w:top w:val="nil"/>
              <w:left w:val="single" w:sz="4" w:space="0" w:color="auto"/>
              <w:bottom w:val="single" w:sz="4" w:space="0" w:color="auto"/>
              <w:right w:val="nil"/>
            </w:tcBorders>
            <w:vAlign w:val="center"/>
            <w:hideMark/>
          </w:tcPr>
          <w:p w:rsidR="006F09A6" w:rsidRPr="00FF3422" w:rsidRDefault="006F09A6" w:rsidP="006F09A6">
            <w:pPr>
              <w:numPr>
                <w:ilvl w:val="0"/>
                <w:numId w:val="8"/>
              </w:numPr>
              <w:tabs>
                <w:tab w:val="clear" w:pos="360"/>
                <w:tab w:val="left" w:pos="342"/>
              </w:tabs>
              <w:rPr>
                <w:sz w:val="20"/>
              </w:rPr>
            </w:pPr>
            <w:r w:rsidRPr="00FF3422">
              <w:rPr>
                <w:sz w:val="20"/>
              </w:rPr>
              <w:t>All contributions to partnerships.</w:t>
            </w:r>
          </w:p>
        </w:tc>
        <w:tc>
          <w:tcPr>
            <w:tcW w:w="1985" w:type="dxa"/>
            <w:tcBorders>
              <w:top w:val="nil"/>
              <w:left w:val="single" w:sz="4" w:space="0" w:color="auto"/>
              <w:bottom w:val="single" w:sz="4" w:space="0" w:color="auto"/>
              <w:right w:val="single" w:sz="4" w:space="0" w:color="auto"/>
            </w:tcBorders>
            <w:vAlign w:val="center"/>
            <w:hideMark/>
          </w:tcPr>
          <w:p w:rsidR="006F09A6" w:rsidRPr="00FF3422" w:rsidRDefault="006F09A6" w:rsidP="00D27F9E">
            <w:pPr>
              <w:jc w:val="center"/>
              <w:rPr>
                <w:rFonts w:cs="Arial"/>
                <w:sz w:val="20"/>
              </w:rPr>
            </w:pPr>
            <w:r w:rsidRPr="00FF3422">
              <w:rPr>
                <w:rFonts w:cs="Arial"/>
                <w:sz w:val="20"/>
              </w:rPr>
              <w:t>5%</w:t>
            </w:r>
          </w:p>
        </w:tc>
        <w:tc>
          <w:tcPr>
            <w:tcW w:w="2126" w:type="dxa"/>
            <w:tcBorders>
              <w:top w:val="nil"/>
              <w:left w:val="nil"/>
              <w:bottom w:val="single" w:sz="4" w:space="0" w:color="auto"/>
              <w:right w:val="single" w:sz="4" w:space="0" w:color="auto"/>
            </w:tcBorders>
            <w:vAlign w:val="center"/>
            <w:hideMark/>
          </w:tcPr>
          <w:p w:rsidR="006F09A6" w:rsidRPr="00FF3422" w:rsidRDefault="006F09A6" w:rsidP="00D27F9E">
            <w:pPr>
              <w:jc w:val="center"/>
              <w:rPr>
                <w:rFonts w:cs="Arial"/>
                <w:sz w:val="20"/>
              </w:rPr>
            </w:pPr>
            <w:r w:rsidRPr="00FF3422">
              <w:rPr>
                <w:rFonts w:cs="Arial"/>
                <w:sz w:val="20"/>
              </w:rPr>
              <w:t>15%</w:t>
            </w:r>
          </w:p>
        </w:tc>
      </w:tr>
      <w:tr w:rsidR="006F09A6" w:rsidRPr="00B53B26" w:rsidTr="00D27F9E">
        <w:trPr>
          <w:trHeight w:val="403"/>
        </w:trPr>
        <w:tc>
          <w:tcPr>
            <w:tcW w:w="4644" w:type="dxa"/>
            <w:tcBorders>
              <w:top w:val="single" w:sz="4" w:space="0" w:color="auto"/>
              <w:left w:val="single" w:sz="4" w:space="0" w:color="auto"/>
              <w:bottom w:val="nil"/>
              <w:right w:val="nil"/>
            </w:tcBorders>
            <w:vAlign w:val="center"/>
            <w:hideMark/>
          </w:tcPr>
          <w:p w:rsidR="006F09A6" w:rsidRPr="00FF3422" w:rsidRDefault="006F09A6" w:rsidP="006F09A6">
            <w:pPr>
              <w:numPr>
                <w:ilvl w:val="0"/>
                <w:numId w:val="8"/>
              </w:numPr>
              <w:tabs>
                <w:tab w:val="clear" w:pos="360"/>
                <w:tab w:val="left" w:pos="342"/>
              </w:tabs>
              <w:rPr>
                <w:sz w:val="20"/>
              </w:rPr>
            </w:pPr>
            <w:r w:rsidRPr="00FF3422">
              <w:rPr>
                <w:sz w:val="20"/>
              </w:rPr>
              <w:t>with the sum of -</w:t>
            </w:r>
          </w:p>
        </w:tc>
        <w:tc>
          <w:tcPr>
            <w:tcW w:w="1985" w:type="dxa"/>
            <w:tcBorders>
              <w:top w:val="single" w:sz="4" w:space="0" w:color="auto"/>
              <w:left w:val="single" w:sz="4" w:space="0" w:color="auto"/>
              <w:bottom w:val="nil"/>
              <w:right w:val="single" w:sz="4" w:space="0" w:color="auto"/>
            </w:tcBorders>
            <w:vAlign w:val="center"/>
            <w:hideMark/>
          </w:tcPr>
          <w:p w:rsidR="006F09A6" w:rsidRPr="00FF3422" w:rsidRDefault="006F09A6" w:rsidP="00D27F9E">
            <w:pPr>
              <w:jc w:val="center"/>
              <w:rPr>
                <w:rFonts w:cs="Arial"/>
                <w:sz w:val="20"/>
              </w:rPr>
            </w:pPr>
            <w:r w:rsidRPr="00FF3422">
              <w:rPr>
                <w:rFonts w:cs="Arial"/>
                <w:sz w:val="20"/>
              </w:rPr>
              <w:t>10%</w:t>
            </w:r>
          </w:p>
        </w:tc>
        <w:tc>
          <w:tcPr>
            <w:tcW w:w="2126" w:type="dxa"/>
            <w:tcBorders>
              <w:top w:val="single" w:sz="4" w:space="0" w:color="auto"/>
              <w:left w:val="nil"/>
              <w:bottom w:val="nil"/>
              <w:right w:val="single" w:sz="4" w:space="0" w:color="auto"/>
            </w:tcBorders>
            <w:vAlign w:val="center"/>
            <w:hideMark/>
          </w:tcPr>
          <w:p w:rsidR="006F09A6" w:rsidRPr="00FF3422" w:rsidRDefault="006F09A6" w:rsidP="00D27F9E">
            <w:pPr>
              <w:jc w:val="center"/>
              <w:rPr>
                <w:rFonts w:cs="Arial"/>
                <w:sz w:val="20"/>
              </w:rPr>
            </w:pPr>
            <w:r w:rsidRPr="00FF3422">
              <w:rPr>
                <w:rFonts w:cs="Arial"/>
                <w:sz w:val="20"/>
              </w:rPr>
              <w:t>-</w:t>
            </w:r>
          </w:p>
        </w:tc>
      </w:tr>
      <w:tr w:rsidR="006F09A6" w:rsidRPr="00B53B26" w:rsidTr="00D27F9E">
        <w:trPr>
          <w:trHeight w:val="375"/>
        </w:trPr>
        <w:tc>
          <w:tcPr>
            <w:tcW w:w="4644" w:type="dxa"/>
            <w:tcBorders>
              <w:top w:val="nil"/>
              <w:left w:val="single" w:sz="4" w:space="0" w:color="auto"/>
              <w:bottom w:val="nil"/>
              <w:right w:val="nil"/>
            </w:tcBorders>
            <w:vAlign w:val="center"/>
            <w:hideMark/>
          </w:tcPr>
          <w:p w:rsidR="006F09A6" w:rsidRPr="00FF3422" w:rsidRDefault="000064C6" w:rsidP="000064C6">
            <w:pPr>
              <w:tabs>
                <w:tab w:val="left" w:pos="342"/>
              </w:tabs>
              <w:ind w:left="342"/>
              <w:rPr>
                <w:rFonts w:cs="Arial"/>
                <w:sz w:val="20"/>
              </w:rPr>
            </w:pPr>
            <w:r>
              <w:rPr>
                <w:rFonts w:cs="Arial"/>
                <w:sz w:val="20"/>
              </w:rPr>
              <w:t>(a) all loans</w:t>
            </w:r>
            <w:r w:rsidR="006F09A6" w:rsidRPr="00FF3422">
              <w:rPr>
                <w:rFonts w:cs="Arial"/>
                <w:sz w:val="20"/>
              </w:rPr>
              <w:t xml:space="preserve">; and </w:t>
            </w:r>
          </w:p>
        </w:tc>
        <w:tc>
          <w:tcPr>
            <w:tcW w:w="1985" w:type="dxa"/>
            <w:tcBorders>
              <w:top w:val="nil"/>
              <w:left w:val="single" w:sz="4" w:space="0" w:color="auto"/>
              <w:bottom w:val="nil"/>
              <w:right w:val="single" w:sz="4" w:space="0" w:color="auto"/>
            </w:tcBorders>
            <w:vAlign w:val="center"/>
          </w:tcPr>
          <w:p w:rsidR="006F09A6" w:rsidRPr="00FF3422" w:rsidRDefault="006F09A6" w:rsidP="00D27F9E">
            <w:pPr>
              <w:jc w:val="center"/>
              <w:rPr>
                <w:rFonts w:cs="Arial"/>
                <w:sz w:val="20"/>
              </w:rPr>
            </w:pPr>
          </w:p>
        </w:tc>
        <w:tc>
          <w:tcPr>
            <w:tcW w:w="2126" w:type="dxa"/>
            <w:tcBorders>
              <w:top w:val="nil"/>
              <w:left w:val="nil"/>
              <w:bottom w:val="nil"/>
              <w:right w:val="single" w:sz="4" w:space="0" w:color="auto"/>
            </w:tcBorders>
            <w:vAlign w:val="center"/>
          </w:tcPr>
          <w:p w:rsidR="006F09A6" w:rsidRPr="00FF3422" w:rsidRDefault="006F09A6" w:rsidP="00D27F9E">
            <w:pPr>
              <w:jc w:val="center"/>
              <w:rPr>
                <w:rFonts w:cs="Arial"/>
                <w:sz w:val="20"/>
              </w:rPr>
            </w:pPr>
          </w:p>
        </w:tc>
      </w:tr>
      <w:tr w:rsidR="006F09A6" w:rsidRPr="00B53B26" w:rsidTr="00D27F9E">
        <w:trPr>
          <w:trHeight w:val="375"/>
        </w:trPr>
        <w:tc>
          <w:tcPr>
            <w:tcW w:w="4644" w:type="dxa"/>
            <w:tcBorders>
              <w:top w:val="nil"/>
              <w:left w:val="single" w:sz="4" w:space="0" w:color="auto"/>
              <w:bottom w:val="nil"/>
              <w:right w:val="nil"/>
            </w:tcBorders>
            <w:vAlign w:val="center"/>
            <w:hideMark/>
          </w:tcPr>
          <w:p w:rsidR="006F09A6" w:rsidRPr="00FF3422" w:rsidRDefault="006F09A6" w:rsidP="00D27F9E">
            <w:pPr>
              <w:tabs>
                <w:tab w:val="left" w:pos="342"/>
              </w:tabs>
              <w:ind w:left="342"/>
              <w:rPr>
                <w:rFonts w:cs="Arial"/>
                <w:sz w:val="20"/>
              </w:rPr>
            </w:pPr>
            <w:r w:rsidRPr="00FF3422">
              <w:rPr>
                <w:rFonts w:cs="Arial"/>
                <w:sz w:val="20"/>
              </w:rPr>
              <w:t>(b) and deposits with -</w:t>
            </w:r>
          </w:p>
        </w:tc>
        <w:tc>
          <w:tcPr>
            <w:tcW w:w="1985" w:type="dxa"/>
            <w:tcBorders>
              <w:top w:val="nil"/>
              <w:left w:val="single" w:sz="4" w:space="0" w:color="auto"/>
              <w:bottom w:val="nil"/>
              <w:right w:val="single" w:sz="4" w:space="0" w:color="auto"/>
            </w:tcBorders>
            <w:vAlign w:val="center"/>
          </w:tcPr>
          <w:p w:rsidR="006F09A6" w:rsidRPr="00FF3422" w:rsidRDefault="006F09A6" w:rsidP="00D27F9E">
            <w:pPr>
              <w:jc w:val="center"/>
              <w:rPr>
                <w:rFonts w:cs="Arial"/>
                <w:sz w:val="20"/>
              </w:rPr>
            </w:pPr>
          </w:p>
        </w:tc>
        <w:tc>
          <w:tcPr>
            <w:tcW w:w="2126" w:type="dxa"/>
            <w:tcBorders>
              <w:top w:val="nil"/>
              <w:left w:val="nil"/>
              <w:bottom w:val="nil"/>
              <w:right w:val="single" w:sz="4" w:space="0" w:color="auto"/>
            </w:tcBorders>
            <w:vAlign w:val="center"/>
          </w:tcPr>
          <w:p w:rsidR="006F09A6" w:rsidRPr="00FF3422" w:rsidRDefault="006F09A6" w:rsidP="00D27F9E">
            <w:pPr>
              <w:jc w:val="center"/>
              <w:rPr>
                <w:rFonts w:cs="Arial"/>
                <w:sz w:val="20"/>
              </w:rPr>
            </w:pPr>
          </w:p>
        </w:tc>
      </w:tr>
      <w:tr w:rsidR="006F09A6" w:rsidRPr="00B53B26" w:rsidTr="00D27F9E">
        <w:trPr>
          <w:trHeight w:val="375"/>
        </w:trPr>
        <w:tc>
          <w:tcPr>
            <w:tcW w:w="4644" w:type="dxa"/>
            <w:tcBorders>
              <w:top w:val="nil"/>
              <w:left w:val="single" w:sz="4" w:space="0" w:color="auto"/>
              <w:bottom w:val="nil"/>
              <w:right w:val="nil"/>
            </w:tcBorders>
            <w:vAlign w:val="center"/>
            <w:hideMark/>
          </w:tcPr>
          <w:p w:rsidR="006F09A6" w:rsidRPr="00FF3422" w:rsidRDefault="006F09A6" w:rsidP="00D27F9E">
            <w:pPr>
              <w:tabs>
                <w:tab w:val="left" w:pos="342"/>
              </w:tabs>
              <w:ind w:left="342"/>
              <w:rPr>
                <w:rFonts w:cs="Arial"/>
                <w:sz w:val="20"/>
              </w:rPr>
            </w:pPr>
            <w:r w:rsidRPr="00FF3422">
              <w:rPr>
                <w:rFonts w:cs="Arial"/>
                <w:sz w:val="20"/>
              </w:rPr>
              <w:t>(</w:t>
            </w:r>
            <w:proofErr w:type="spellStart"/>
            <w:r w:rsidRPr="00FF3422">
              <w:rPr>
                <w:rFonts w:cs="Arial"/>
                <w:sz w:val="20"/>
              </w:rPr>
              <w:t>i</w:t>
            </w:r>
            <w:proofErr w:type="spellEnd"/>
            <w:r w:rsidRPr="00FF3422">
              <w:rPr>
                <w:rFonts w:cs="Arial"/>
                <w:sz w:val="20"/>
              </w:rPr>
              <w:t>)   any local authority, or</w:t>
            </w:r>
          </w:p>
        </w:tc>
        <w:tc>
          <w:tcPr>
            <w:tcW w:w="1985" w:type="dxa"/>
            <w:tcBorders>
              <w:top w:val="nil"/>
              <w:left w:val="single" w:sz="4" w:space="0" w:color="auto"/>
              <w:bottom w:val="nil"/>
              <w:right w:val="single" w:sz="4" w:space="0" w:color="auto"/>
            </w:tcBorders>
            <w:vAlign w:val="center"/>
          </w:tcPr>
          <w:p w:rsidR="006F09A6" w:rsidRPr="00FF3422" w:rsidRDefault="006F09A6" w:rsidP="00D27F9E">
            <w:pPr>
              <w:jc w:val="center"/>
              <w:rPr>
                <w:rFonts w:cs="Arial"/>
                <w:sz w:val="20"/>
              </w:rPr>
            </w:pPr>
          </w:p>
        </w:tc>
        <w:tc>
          <w:tcPr>
            <w:tcW w:w="2126" w:type="dxa"/>
            <w:tcBorders>
              <w:top w:val="nil"/>
              <w:left w:val="nil"/>
              <w:bottom w:val="nil"/>
              <w:right w:val="single" w:sz="4" w:space="0" w:color="auto"/>
            </w:tcBorders>
            <w:vAlign w:val="center"/>
          </w:tcPr>
          <w:p w:rsidR="006F09A6" w:rsidRPr="00FF3422" w:rsidRDefault="006F09A6" w:rsidP="00D27F9E">
            <w:pPr>
              <w:jc w:val="center"/>
              <w:rPr>
                <w:rFonts w:cs="Arial"/>
                <w:sz w:val="20"/>
              </w:rPr>
            </w:pPr>
          </w:p>
        </w:tc>
      </w:tr>
      <w:tr w:rsidR="006F09A6" w:rsidRPr="00B53B26" w:rsidTr="00D27F9E">
        <w:tc>
          <w:tcPr>
            <w:tcW w:w="4644" w:type="dxa"/>
            <w:tcBorders>
              <w:top w:val="nil"/>
              <w:left w:val="single" w:sz="4" w:space="0" w:color="auto"/>
              <w:bottom w:val="nil"/>
              <w:right w:val="nil"/>
            </w:tcBorders>
            <w:vAlign w:val="center"/>
            <w:hideMark/>
          </w:tcPr>
          <w:p w:rsidR="006F09A6" w:rsidRPr="00FF3422" w:rsidRDefault="006F09A6" w:rsidP="00D27F9E">
            <w:pPr>
              <w:tabs>
                <w:tab w:val="left" w:pos="342"/>
              </w:tabs>
              <w:ind w:left="720" w:hanging="378"/>
              <w:rPr>
                <w:rFonts w:cs="Arial"/>
                <w:sz w:val="20"/>
              </w:rPr>
            </w:pPr>
            <w:r w:rsidRPr="00FF3422">
              <w:rPr>
                <w:rFonts w:cs="Arial"/>
                <w:sz w:val="20"/>
              </w:rPr>
              <w:t>(ii)</w:t>
            </w:r>
            <w:r w:rsidRPr="00FF3422">
              <w:rPr>
                <w:rFonts w:cs="Arial"/>
                <w:sz w:val="20"/>
              </w:rPr>
              <w:tab/>
              <w:t>any body with power to issue a precept of requisition to a local authority, or to the expenses of which a local authority can be required to contribute,</w:t>
            </w:r>
          </w:p>
        </w:tc>
        <w:tc>
          <w:tcPr>
            <w:tcW w:w="1985" w:type="dxa"/>
            <w:tcBorders>
              <w:top w:val="nil"/>
              <w:left w:val="single" w:sz="4" w:space="0" w:color="auto"/>
              <w:bottom w:val="nil"/>
              <w:right w:val="single" w:sz="4" w:space="0" w:color="auto"/>
            </w:tcBorders>
            <w:vAlign w:val="center"/>
          </w:tcPr>
          <w:p w:rsidR="006F09A6" w:rsidRPr="00FF3422" w:rsidRDefault="006F09A6" w:rsidP="00D27F9E">
            <w:pPr>
              <w:jc w:val="center"/>
              <w:rPr>
                <w:rFonts w:cs="Arial"/>
                <w:sz w:val="20"/>
              </w:rPr>
            </w:pPr>
          </w:p>
        </w:tc>
        <w:tc>
          <w:tcPr>
            <w:tcW w:w="2126" w:type="dxa"/>
            <w:tcBorders>
              <w:top w:val="nil"/>
              <w:left w:val="nil"/>
              <w:bottom w:val="nil"/>
              <w:right w:val="single" w:sz="4" w:space="0" w:color="auto"/>
            </w:tcBorders>
            <w:vAlign w:val="center"/>
          </w:tcPr>
          <w:p w:rsidR="006F09A6" w:rsidRPr="00FF3422" w:rsidRDefault="006F09A6" w:rsidP="00D27F9E">
            <w:pPr>
              <w:jc w:val="center"/>
              <w:rPr>
                <w:rFonts w:cs="Arial"/>
                <w:sz w:val="20"/>
              </w:rPr>
            </w:pPr>
          </w:p>
        </w:tc>
      </w:tr>
      <w:tr w:rsidR="006F09A6" w:rsidRPr="00B53B26" w:rsidTr="00D27F9E">
        <w:tc>
          <w:tcPr>
            <w:tcW w:w="4644" w:type="dxa"/>
            <w:tcBorders>
              <w:top w:val="nil"/>
              <w:left w:val="single" w:sz="4" w:space="0" w:color="auto"/>
              <w:bottom w:val="nil"/>
              <w:right w:val="nil"/>
            </w:tcBorders>
            <w:vAlign w:val="center"/>
            <w:hideMark/>
          </w:tcPr>
          <w:p w:rsidR="006F09A6" w:rsidRPr="00FF3422" w:rsidRDefault="006F09A6" w:rsidP="000064C6">
            <w:pPr>
              <w:tabs>
                <w:tab w:val="left" w:pos="709"/>
              </w:tabs>
              <w:ind w:left="709"/>
              <w:rPr>
                <w:rFonts w:cs="Arial"/>
                <w:sz w:val="20"/>
              </w:rPr>
            </w:pPr>
            <w:proofErr w:type="gramStart"/>
            <w:r w:rsidRPr="00FF3422">
              <w:rPr>
                <w:rFonts w:cs="Arial"/>
                <w:sz w:val="20"/>
              </w:rPr>
              <w:t>which</w:t>
            </w:r>
            <w:proofErr w:type="gramEnd"/>
            <w:r w:rsidRPr="00FF3422">
              <w:rPr>
                <w:rFonts w:cs="Arial"/>
                <w:sz w:val="20"/>
              </w:rPr>
              <w:t xml:space="preserve"> is an exempt person (within the meaning of the Financial Services and Markets Act 2000(a)) in respect of accepting deposits as a result of an order made under section 38(1) of that Act, and all loans</w:t>
            </w:r>
            <w:r w:rsidR="000064C6">
              <w:rPr>
                <w:rFonts w:cs="Arial"/>
                <w:sz w:val="20"/>
              </w:rPr>
              <w:t>.</w:t>
            </w:r>
            <w:r w:rsidRPr="00FF3422">
              <w:rPr>
                <w:rFonts w:cs="Arial"/>
                <w:sz w:val="20"/>
              </w:rPr>
              <w:t xml:space="preserve"> </w:t>
            </w:r>
          </w:p>
        </w:tc>
        <w:tc>
          <w:tcPr>
            <w:tcW w:w="1985" w:type="dxa"/>
            <w:tcBorders>
              <w:top w:val="nil"/>
              <w:left w:val="single" w:sz="4" w:space="0" w:color="auto"/>
              <w:bottom w:val="nil"/>
              <w:right w:val="single" w:sz="4" w:space="0" w:color="auto"/>
            </w:tcBorders>
            <w:vAlign w:val="center"/>
          </w:tcPr>
          <w:p w:rsidR="006F09A6" w:rsidRPr="00FF3422" w:rsidRDefault="006F09A6" w:rsidP="00D27F9E">
            <w:pPr>
              <w:jc w:val="center"/>
              <w:rPr>
                <w:rFonts w:cs="Arial"/>
                <w:sz w:val="20"/>
              </w:rPr>
            </w:pPr>
          </w:p>
        </w:tc>
        <w:tc>
          <w:tcPr>
            <w:tcW w:w="2126" w:type="dxa"/>
            <w:tcBorders>
              <w:top w:val="nil"/>
              <w:left w:val="nil"/>
              <w:bottom w:val="nil"/>
              <w:right w:val="single" w:sz="4" w:space="0" w:color="auto"/>
            </w:tcBorders>
            <w:vAlign w:val="center"/>
          </w:tcPr>
          <w:p w:rsidR="006F09A6" w:rsidRPr="00FF3422" w:rsidRDefault="006F09A6" w:rsidP="00D27F9E">
            <w:pPr>
              <w:jc w:val="center"/>
              <w:rPr>
                <w:rFonts w:cs="Arial"/>
                <w:sz w:val="20"/>
              </w:rPr>
            </w:pPr>
          </w:p>
        </w:tc>
      </w:tr>
      <w:tr w:rsidR="006F09A6" w:rsidRPr="00B53B26" w:rsidTr="00D27F9E">
        <w:trPr>
          <w:trHeight w:val="381"/>
        </w:trPr>
        <w:tc>
          <w:tcPr>
            <w:tcW w:w="4644" w:type="dxa"/>
            <w:tcBorders>
              <w:top w:val="nil"/>
              <w:left w:val="single" w:sz="4" w:space="0" w:color="auto"/>
              <w:bottom w:val="nil"/>
              <w:right w:val="nil"/>
            </w:tcBorders>
            <w:vAlign w:val="center"/>
            <w:hideMark/>
          </w:tcPr>
          <w:p w:rsidR="006F09A6" w:rsidRPr="00FF3422" w:rsidRDefault="006F09A6" w:rsidP="006F09A6">
            <w:pPr>
              <w:numPr>
                <w:ilvl w:val="0"/>
                <w:numId w:val="8"/>
              </w:numPr>
              <w:tabs>
                <w:tab w:val="clear" w:pos="360"/>
                <w:tab w:val="left" w:pos="342"/>
              </w:tabs>
              <w:rPr>
                <w:sz w:val="20"/>
              </w:rPr>
            </w:pPr>
            <w:r w:rsidRPr="00FF3422">
              <w:rPr>
                <w:sz w:val="20"/>
              </w:rPr>
              <w:t>All investments in unlisted securities of companies.</w:t>
            </w:r>
          </w:p>
        </w:tc>
        <w:tc>
          <w:tcPr>
            <w:tcW w:w="1985" w:type="dxa"/>
            <w:tcBorders>
              <w:top w:val="nil"/>
              <w:left w:val="single" w:sz="4" w:space="0" w:color="auto"/>
              <w:bottom w:val="nil"/>
              <w:right w:val="single" w:sz="4" w:space="0" w:color="auto"/>
            </w:tcBorders>
            <w:vAlign w:val="center"/>
            <w:hideMark/>
          </w:tcPr>
          <w:p w:rsidR="006F09A6" w:rsidRPr="00FF3422" w:rsidRDefault="006F09A6" w:rsidP="00D27F9E">
            <w:pPr>
              <w:jc w:val="center"/>
              <w:rPr>
                <w:rFonts w:cs="Arial"/>
                <w:sz w:val="20"/>
              </w:rPr>
            </w:pPr>
            <w:r w:rsidRPr="00FF3422">
              <w:rPr>
                <w:rFonts w:cs="Arial"/>
                <w:sz w:val="20"/>
              </w:rPr>
              <w:t>10%</w:t>
            </w:r>
          </w:p>
        </w:tc>
        <w:tc>
          <w:tcPr>
            <w:tcW w:w="2126" w:type="dxa"/>
            <w:tcBorders>
              <w:top w:val="nil"/>
              <w:left w:val="nil"/>
              <w:bottom w:val="nil"/>
              <w:right w:val="single" w:sz="4" w:space="0" w:color="auto"/>
            </w:tcBorders>
            <w:vAlign w:val="center"/>
            <w:hideMark/>
          </w:tcPr>
          <w:p w:rsidR="006F09A6" w:rsidRPr="00FF3422" w:rsidRDefault="006F09A6" w:rsidP="00D27F9E">
            <w:pPr>
              <w:jc w:val="center"/>
              <w:rPr>
                <w:rFonts w:cs="Arial"/>
                <w:sz w:val="20"/>
              </w:rPr>
            </w:pPr>
            <w:r w:rsidRPr="00FF3422">
              <w:rPr>
                <w:rFonts w:cs="Arial"/>
                <w:sz w:val="20"/>
              </w:rPr>
              <w:t>15%</w:t>
            </w:r>
          </w:p>
        </w:tc>
      </w:tr>
      <w:tr w:rsidR="006F09A6" w:rsidRPr="00B53B26" w:rsidTr="00D27F9E">
        <w:trPr>
          <w:trHeight w:val="301"/>
        </w:trPr>
        <w:tc>
          <w:tcPr>
            <w:tcW w:w="4644" w:type="dxa"/>
            <w:tcBorders>
              <w:top w:val="nil"/>
              <w:left w:val="single" w:sz="4" w:space="0" w:color="auto"/>
              <w:bottom w:val="nil"/>
              <w:right w:val="nil"/>
            </w:tcBorders>
            <w:vAlign w:val="center"/>
            <w:hideMark/>
          </w:tcPr>
          <w:p w:rsidR="006F09A6" w:rsidRPr="00FF3422" w:rsidRDefault="000064C6" w:rsidP="000064C6">
            <w:pPr>
              <w:numPr>
                <w:ilvl w:val="0"/>
                <w:numId w:val="8"/>
              </w:numPr>
              <w:tabs>
                <w:tab w:val="clear" w:pos="360"/>
                <w:tab w:val="left" w:pos="342"/>
              </w:tabs>
              <w:rPr>
                <w:sz w:val="20"/>
              </w:rPr>
            </w:pPr>
            <w:r>
              <w:rPr>
                <w:sz w:val="20"/>
              </w:rPr>
              <w:t>Any single holding.</w:t>
            </w:r>
          </w:p>
        </w:tc>
        <w:tc>
          <w:tcPr>
            <w:tcW w:w="1985" w:type="dxa"/>
            <w:tcBorders>
              <w:top w:val="nil"/>
              <w:left w:val="single" w:sz="4" w:space="0" w:color="auto"/>
              <w:bottom w:val="nil"/>
              <w:right w:val="single" w:sz="4" w:space="0" w:color="auto"/>
            </w:tcBorders>
            <w:vAlign w:val="center"/>
            <w:hideMark/>
          </w:tcPr>
          <w:p w:rsidR="006F09A6" w:rsidRPr="00FF3422" w:rsidRDefault="006F09A6" w:rsidP="00D27F9E">
            <w:pPr>
              <w:jc w:val="center"/>
              <w:rPr>
                <w:rFonts w:cs="Arial"/>
                <w:sz w:val="20"/>
              </w:rPr>
            </w:pPr>
            <w:r w:rsidRPr="00FF3422">
              <w:rPr>
                <w:rFonts w:cs="Arial"/>
                <w:sz w:val="20"/>
              </w:rPr>
              <w:t>10%</w:t>
            </w:r>
          </w:p>
        </w:tc>
        <w:tc>
          <w:tcPr>
            <w:tcW w:w="2126" w:type="dxa"/>
            <w:tcBorders>
              <w:top w:val="nil"/>
              <w:left w:val="nil"/>
              <w:bottom w:val="nil"/>
              <w:right w:val="single" w:sz="4" w:space="0" w:color="auto"/>
            </w:tcBorders>
            <w:vAlign w:val="center"/>
            <w:hideMark/>
          </w:tcPr>
          <w:p w:rsidR="006F09A6" w:rsidRPr="00FF3422" w:rsidRDefault="006F09A6" w:rsidP="00D27F9E">
            <w:pPr>
              <w:jc w:val="center"/>
              <w:rPr>
                <w:rFonts w:cs="Arial"/>
                <w:sz w:val="20"/>
              </w:rPr>
            </w:pPr>
            <w:r w:rsidRPr="00FF3422">
              <w:rPr>
                <w:rFonts w:cs="Arial"/>
                <w:sz w:val="20"/>
              </w:rPr>
              <w:t>-</w:t>
            </w:r>
          </w:p>
        </w:tc>
      </w:tr>
      <w:tr w:rsidR="006F09A6" w:rsidRPr="00B53B26" w:rsidTr="00D27F9E">
        <w:trPr>
          <w:trHeight w:val="561"/>
        </w:trPr>
        <w:tc>
          <w:tcPr>
            <w:tcW w:w="4644" w:type="dxa"/>
            <w:tcBorders>
              <w:top w:val="nil"/>
              <w:left w:val="single" w:sz="4" w:space="0" w:color="auto"/>
              <w:bottom w:val="nil"/>
              <w:right w:val="nil"/>
            </w:tcBorders>
            <w:vAlign w:val="center"/>
            <w:hideMark/>
          </w:tcPr>
          <w:p w:rsidR="006F09A6" w:rsidRPr="00FF3422" w:rsidRDefault="006F09A6" w:rsidP="006F09A6">
            <w:pPr>
              <w:numPr>
                <w:ilvl w:val="0"/>
                <w:numId w:val="8"/>
              </w:numPr>
              <w:tabs>
                <w:tab w:val="clear" w:pos="360"/>
                <w:tab w:val="left" w:pos="342"/>
              </w:tabs>
              <w:rPr>
                <w:sz w:val="20"/>
              </w:rPr>
            </w:pPr>
            <w:r w:rsidRPr="00FF3422">
              <w:rPr>
                <w:sz w:val="20"/>
              </w:rPr>
              <w:t>All deposits with any single bank, institution or person (other than the National Savings Bank).</w:t>
            </w:r>
          </w:p>
        </w:tc>
        <w:tc>
          <w:tcPr>
            <w:tcW w:w="1985" w:type="dxa"/>
            <w:tcBorders>
              <w:top w:val="nil"/>
              <w:left w:val="single" w:sz="4" w:space="0" w:color="auto"/>
              <w:bottom w:val="nil"/>
              <w:right w:val="single" w:sz="4" w:space="0" w:color="auto"/>
            </w:tcBorders>
            <w:vAlign w:val="center"/>
            <w:hideMark/>
          </w:tcPr>
          <w:p w:rsidR="006F09A6" w:rsidRPr="00FF3422" w:rsidRDefault="006F09A6" w:rsidP="00D27F9E">
            <w:pPr>
              <w:jc w:val="center"/>
              <w:rPr>
                <w:rFonts w:cs="Arial"/>
                <w:sz w:val="20"/>
              </w:rPr>
            </w:pPr>
            <w:r w:rsidRPr="00FF3422">
              <w:rPr>
                <w:rFonts w:cs="Arial"/>
                <w:sz w:val="20"/>
              </w:rPr>
              <w:t>10%</w:t>
            </w:r>
          </w:p>
        </w:tc>
        <w:tc>
          <w:tcPr>
            <w:tcW w:w="2126" w:type="dxa"/>
            <w:tcBorders>
              <w:top w:val="nil"/>
              <w:left w:val="nil"/>
              <w:bottom w:val="nil"/>
              <w:right w:val="single" w:sz="4" w:space="0" w:color="auto"/>
            </w:tcBorders>
            <w:vAlign w:val="center"/>
            <w:hideMark/>
          </w:tcPr>
          <w:p w:rsidR="006F09A6" w:rsidRPr="00FF3422" w:rsidRDefault="006F09A6" w:rsidP="00D27F9E">
            <w:pPr>
              <w:jc w:val="center"/>
              <w:rPr>
                <w:rFonts w:cs="Arial"/>
                <w:sz w:val="20"/>
              </w:rPr>
            </w:pPr>
            <w:r w:rsidRPr="00FF3422">
              <w:rPr>
                <w:rFonts w:cs="Arial"/>
                <w:sz w:val="20"/>
              </w:rPr>
              <w:t>-</w:t>
            </w:r>
          </w:p>
        </w:tc>
      </w:tr>
      <w:tr w:rsidR="006F09A6" w:rsidRPr="00B53B26" w:rsidTr="000064C6">
        <w:trPr>
          <w:trHeight w:val="578"/>
        </w:trPr>
        <w:tc>
          <w:tcPr>
            <w:tcW w:w="4644" w:type="dxa"/>
            <w:tcBorders>
              <w:top w:val="nil"/>
              <w:left w:val="single" w:sz="4" w:space="0" w:color="auto"/>
              <w:bottom w:val="single" w:sz="4" w:space="0" w:color="auto"/>
              <w:right w:val="nil"/>
            </w:tcBorders>
            <w:vAlign w:val="center"/>
          </w:tcPr>
          <w:p w:rsidR="006F09A6" w:rsidRPr="00FF3422" w:rsidRDefault="006F09A6" w:rsidP="006F09A6">
            <w:pPr>
              <w:numPr>
                <w:ilvl w:val="0"/>
                <w:numId w:val="8"/>
              </w:numPr>
              <w:tabs>
                <w:tab w:val="clear" w:pos="360"/>
                <w:tab w:val="left" w:pos="342"/>
              </w:tabs>
              <w:rPr>
                <w:sz w:val="20"/>
              </w:rPr>
            </w:pPr>
            <w:r w:rsidRPr="00FF3422">
              <w:rPr>
                <w:sz w:val="20"/>
              </w:rPr>
              <w:t>All sub-underwriting contracts.</w:t>
            </w:r>
          </w:p>
          <w:p w:rsidR="006F09A6" w:rsidRPr="00FF3422" w:rsidRDefault="006F09A6" w:rsidP="00D27F9E">
            <w:pPr>
              <w:rPr>
                <w:rFonts w:cs="Arial"/>
                <w:sz w:val="20"/>
              </w:rPr>
            </w:pPr>
          </w:p>
        </w:tc>
        <w:tc>
          <w:tcPr>
            <w:tcW w:w="1985" w:type="dxa"/>
            <w:tcBorders>
              <w:top w:val="nil"/>
              <w:left w:val="single" w:sz="4" w:space="0" w:color="auto"/>
              <w:bottom w:val="single" w:sz="4" w:space="0" w:color="auto"/>
              <w:right w:val="single" w:sz="4" w:space="0" w:color="auto"/>
            </w:tcBorders>
            <w:vAlign w:val="center"/>
            <w:hideMark/>
          </w:tcPr>
          <w:p w:rsidR="006F09A6" w:rsidRPr="00FF3422" w:rsidRDefault="006F09A6" w:rsidP="00D27F9E">
            <w:pPr>
              <w:jc w:val="center"/>
              <w:rPr>
                <w:rFonts w:cs="Arial"/>
                <w:sz w:val="20"/>
              </w:rPr>
            </w:pPr>
            <w:r w:rsidRPr="00FF3422">
              <w:rPr>
                <w:rFonts w:cs="Arial"/>
                <w:sz w:val="20"/>
              </w:rPr>
              <w:t>15%</w:t>
            </w:r>
          </w:p>
        </w:tc>
        <w:tc>
          <w:tcPr>
            <w:tcW w:w="2126" w:type="dxa"/>
            <w:tcBorders>
              <w:top w:val="nil"/>
              <w:left w:val="nil"/>
              <w:bottom w:val="single" w:sz="4" w:space="0" w:color="auto"/>
              <w:right w:val="single" w:sz="4" w:space="0" w:color="auto"/>
            </w:tcBorders>
            <w:vAlign w:val="center"/>
            <w:hideMark/>
          </w:tcPr>
          <w:p w:rsidR="006F09A6" w:rsidRPr="00FF3422" w:rsidRDefault="006F09A6" w:rsidP="00D27F9E">
            <w:pPr>
              <w:jc w:val="center"/>
              <w:rPr>
                <w:rFonts w:cs="Arial"/>
                <w:sz w:val="20"/>
              </w:rPr>
            </w:pPr>
            <w:r w:rsidRPr="00FF3422">
              <w:rPr>
                <w:rFonts w:cs="Arial"/>
                <w:sz w:val="20"/>
              </w:rPr>
              <w:t>-</w:t>
            </w:r>
          </w:p>
        </w:tc>
      </w:tr>
      <w:tr w:rsidR="006F09A6" w:rsidRPr="00B53B26" w:rsidTr="000064C6">
        <w:trPr>
          <w:trHeight w:val="831"/>
        </w:trPr>
        <w:tc>
          <w:tcPr>
            <w:tcW w:w="4644" w:type="dxa"/>
            <w:tcBorders>
              <w:top w:val="nil"/>
              <w:left w:val="single" w:sz="4" w:space="0" w:color="auto"/>
              <w:bottom w:val="nil"/>
              <w:right w:val="nil"/>
            </w:tcBorders>
            <w:vAlign w:val="center"/>
            <w:hideMark/>
          </w:tcPr>
          <w:p w:rsidR="006F09A6" w:rsidRPr="00FF3422" w:rsidRDefault="006F09A6" w:rsidP="000064C6">
            <w:pPr>
              <w:numPr>
                <w:ilvl w:val="0"/>
                <w:numId w:val="8"/>
              </w:numPr>
              <w:tabs>
                <w:tab w:val="clear" w:pos="360"/>
                <w:tab w:val="left" w:pos="342"/>
              </w:tabs>
              <w:rPr>
                <w:sz w:val="20"/>
              </w:rPr>
            </w:pPr>
            <w:r w:rsidRPr="00FF3422">
              <w:rPr>
                <w:sz w:val="20"/>
              </w:rPr>
              <w:t>All investments in units or other shares of the investments subject to the trusts of unit trust schemes managed by any one body</w:t>
            </w:r>
            <w:r w:rsidR="000064C6">
              <w:rPr>
                <w:sz w:val="20"/>
              </w:rPr>
              <w:t>.</w:t>
            </w:r>
            <w:r w:rsidRPr="00FF3422">
              <w:rPr>
                <w:sz w:val="20"/>
              </w:rPr>
              <w:t xml:space="preserve"> </w:t>
            </w:r>
          </w:p>
        </w:tc>
        <w:tc>
          <w:tcPr>
            <w:tcW w:w="1985" w:type="dxa"/>
            <w:tcBorders>
              <w:top w:val="nil"/>
              <w:left w:val="single" w:sz="4" w:space="0" w:color="auto"/>
              <w:bottom w:val="nil"/>
              <w:right w:val="single" w:sz="4" w:space="0" w:color="auto"/>
            </w:tcBorders>
            <w:vAlign w:val="center"/>
            <w:hideMark/>
          </w:tcPr>
          <w:p w:rsidR="006F09A6" w:rsidRPr="00FF3422" w:rsidRDefault="006F09A6" w:rsidP="00D27F9E">
            <w:pPr>
              <w:jc w:val="center"/>
              <w:rPr>
                <w:rFonts w:cs="Arial"/>
                <w:sz w:val="20"/>
              </w:rPr>
            </w:pPr>
            <w:r w:rsidRPr="00FF3422">
              <w:rPr>
                <w:rFonts w:cs="Arial"/>
                <w:sz w:val="20"/>
              </w:rPr>
              <w:t>25%</w:t>
            </w:r>
          </w:p>
        </w:tc>
        <w:tc>
          <w:tcPr>
            <w:tcW w:w="2126" w:type="dxa"/>
            <w:tcBorders>
              <w:top w:val="nil"/>
              <w:left w:val="nil"/>
              <w:bottom w:val="nil"/>
              <w:right w:val="single" w:sz="4" w:space="0" w:color="auto"/>
            </w:tcBorders>
            <w:vAlign w:val="center"/>
            <w:hideMark/>
          </w:tcPr>
          <w:p w:rsidR="006F09A6" w:rsidRPr="00FF3422" w:rsidRDefault="006F09A6" w:rsidP="00D27F9E">
            <w:pPr>
              <w:jc w:val="center"/>
              <w:rPr>
                <w:rFonts w:cs="Arial"/>
                <w:sz w:val="20"/>
              </w:rPr>
            </w:pPr>
            <w:r w:rsidRPr="00FF3422">
              <w:rPr>
                <w:rFonts w:cs="Arial"/>
                <w:sz w:val="20"/>
              </w:rPr>
              <w:t>35%</w:t>
            </w:r>
          </w:p>
        </w:tc>
      </w:tr>
      <w:tr w:rsidR="006F09A6" w:rsidRPr="00B53B26" w:rsidTr="00D27F9E">
        <w:trPr>
          <w:trHeight w:val="994"/>
        </w:trPr>
        <w:tc>
          <w:tcPr>
            <w:tcW w:w="4644" w:type="dxa"/>
            <w:tcBorders>
              <w:top w:val="nil"/>
              <w:left w:val="single" w:sz="4" w:space="0" w:color="auto"/>
              <w:bottom w:val="nil"/>
              <w:right w:val="nil"/>
            </w:tcBorders>
            <w:vAlign w:val="center"/>
            <w:hideMark/>
          </w:tcPr>
          <w:p w:rsidR="006F09A6" w:rsidRPr="00FF3422" w:rsidRDefault="006F09A6" w:rsidP="00D27F9E">
            <w:pPr>
              <w:tabs>
                <w:tab w:val="left" w:pos="284"/>
              </w:tabs>
              <w:ind w:left="342" w:hanging="342"/>
            </w:pPr>
            <w:r w:rsidRPr="00FF3422">
              <w:rPr>
                <w:rFonts w:cs="Arial"/>
                <w:b/>
                <w:sz w:val="20"/>
              </w:rPr>
              <w:t xml:space="preserve">9a. </w:t>
            </w:r>
            <w:r w:rsidRPr="00FF3422">
              <w:rPr>
                <w:sz w:val="20"/>
              </w:rPr>
              <w:t>All investments in open-ended investment companies where the collective investment schemes constituted by the companies are managed by any one body.</w:t>
            </w:r>
          </w:p>
        </w:tc>
        <w:tc>
          <w:tcPr>
            <w:tcW w:w="1985" w:type="dxa"/>
            <w:tcBorders>
              <w:top w:val="nil"/>
              <w:left w:val="single" w:sz="4" w:space="0" w:color="auto"/>
              <w:bottom w:val="nil"/>
              <w:right w:val="single" w:sz="4" w:space="0" w:color="auto"/>
            </w:tcBorders>
            <w:vAlign w:val="center"/>
            <w:hideMark/>
          </w:tcPr>
          <w:p w:rsidR="006F09A6" w:rsidRPr="00FF3422" w:rsidRDefault="006F09A6" w:rsidP="00D27F9E">
            <w:pPr>
              <w:jc w:val="center"/>
              <w:rPr>
                <w:rFonts w:cs="Arial"/>
                <w:sz w:val="20"/>
              </w:rPr>
            </w:pPr>
            <w:r w:rsidRPr="00FF3422">
              <w:rPr>
                <w:rFonts w:cs="Arial"/>
                <w:sz w:val="20"/>
              </w:rPr>
              <w:t>25%</w:t>
            </w:r>
          </w:p>
        </w:tc>
        <w:tc>
          <w:tcPr>
            <w:tcW w:w="2126" w:type="dxa"/>
            <w:tcBorders>
              <w:top w:val="nil"/>
              <w:left w:val="nil"/>
              <w:bottom w:val="nil"/>
              <w:right w:val="single" w:sz="4" w:space="0" w:color="auto"/>
            </w:tcBorders>
            <w:vAlign w:val="center"/>
            <w:hideMark/>
          </w:tcPr>
          <w:p w:rsidR="006F09A6" w:rsidRPr="00FF3422" w:rsidRDefault="006F09A6" w:rsidP="00D27F9E">
            <w:pPr>
              <w:jc w:val="center"/>
              <w:rPr>
                <w:rFonts w:cs="Arial"/>
                <w:sz w:val="20"/>
              </w:rPr>
            </w:pPr>
            <w:r w:rsidRPr="00FF3422">
              <w:rPr>
                <w:rFonts w:cs="Arial"/>
                <w:sz w:val="20"/>
              </w:rPr>
              <w:t>35%</w:t>
            </w:r>
          </w:p>
        </w:tc>
      </w:tr>
      <w:tr w:rsidR="006F09A6" w:rsidRPr="00B53B26" w:rsidTr="00D27F9E">
        <w:trPr>
          <w:trHeight w:val="1685"/>
        </w:trPr>
        <w:tc>
          <w:tcPr>
            <w:tcW w:w="4644" w:type="dxa"/>
            <w:tcBorders>
              <w:top w:val="nil"/>
              <w:left w:val="single" w:sz="4" w:space="0" w:color="auto"/>
              <w:bottom w:val="nil"/>
              <w:right w:val="nil"/>
            </w:tcBorders>
            <w:vAlign w:val="center"/>
            <w:hideMark/>
          </w:tcPr>
          <w:p w:rsidR="006F09A6" w:rsidRPr="00FF3422" w:rsidRDefault="006F09A6" w:rsidP="000064C6">
            <w:pPr>
              <w:tabs>
                <w:tab w:val="left" w:pos="342"/>
              </w:tabs>
              <w:ind w:left="342" w:hanging="342"/>
              <w:rPr>
                <w:sz w:val="20"/>
              </w:rPr>
            </w:pPr>
            <w:r w:rsidRPr="00FF3422">
              <w:rPr>
                <w:rFonts w:cs="Arial"/>
                <w:b/>
                <w:sz w:val="20"/>
              </w:rPr>
              <w:t>9b.</w:t>
            </w:r>
            <w:r w:rsidRPr="00FF3422">
              <w:rPr>
                <w:rFonts w:cs="Arial"/>
                <w:b/>
                <w:sz w:val="20"/>
              </w:rPr>
              <w:tab/>
            </w:r>
            <w:r w:rsidRPr="00FF3422">
              <w:rPr>
                <w:sz w:val="20"/>
              </w:rPr>
              <w:t xml:space="preserve">All investments in units or other shares of the investments subject to the trusts of unit trust schemes and all investments in open-ended investment companies where the unit trust schemes and the collective investment schemes constituted by those companies are managed by any one body </w:t>
            </w:r>
          </w:p>
        </w:tc>
        <w:tc>
          <w:tcPr>
            <w:tcW w:w="1985" w:type="dxa"/>
            <w:tcBorders>
              <w:top w:val="nil"/>
              <w:left w:val="single" w:sz="4" w:space="0" w:color="auto"/>
              <w:bottom w:val="nil"/>
              <w:right w:val="single" w:sz="4" w:space="0" w:color="auto"/>
            </w:tcBorders>
            <w:vAlign w:val="center"/>
            <w:hideMark/>
          </w:tcPr>
          <w:p w:rsidR="006F09A6" w:rsidRPr="00FF3422" w:rsidRDefault="006F09A6" w:rsidP="00D27F9E">
            <w:pPr>
              <w:jc w:val="center"/>
              <w:rPr>
                <w:rFonts w:cs="Arial"/>
                <w:sz w:val="20"/>
              </w:rPr>
            </w:pPr>
            <w:r w:rsidRPr="00FF3422">
              <w:rPr>
                <w:rFonts w:cs="Arial"/>
                <w:sz w:val="20"/>
              </w:rPr>
              <w:t>25%</w:t>
            </w:r>
          </w:p>
        </w:tc>
        <w:tc>
          <w:tcPr>
            <w:tcW w:w="2126" w:type="dxa"/>
            <w:tcBorders>
              <w:top w:val="nil"/>
              <w:left w:val="nil"/>
              <w:bottom w:val="nil"/>
              <w:right w:val="single" w:sz="4" w:space="0" w:color="auto"/>
            </w:tcBorders>
            <w:vAlign w:val="center"/>
            <w:hideMark/>
          </w:tcPr>
          <w:p w:rsidR="006F09A6" w:rsidRPr="00FF3422" w:rsidRDefault="006F09A6" w:rsidP="00D27F9E">
            <w:pPr>
              <w:jc w:val="center"/>
              <w:rPr>
                <w:rFonts w:cs="Arial"/>
                <w:sz w:val="20"/>
              </w:rPr>
            </w:pPr>
            <w:r w:rsidRPr="00FF3422">
              <w:rPr>
                <w:rFonts w:cs="Arial"/>
                <w:sz w:val="20"/>
              </w:rPr>
              <w:t>35%</w:t>
            </w:r>
          </w:p>
        </w:tc>
      </w:tr>
      <w:tr w:rsidR="006F09A6" w:rsidRPr="00B53B26" w:rsidTr="00D27F9E">
        <w:trPr>
          <w:trHeight w:val="291"/>
        </w:trPr>
        <w:tc>
          <w:tcPr>
            <w:tcW w:w="4644" w:type="dxa"/>
            <w:tcBorders>
              <w:top w:val="nil"/>
              <w:left w:val="single" w:sz="4" w:space="0" w:color="auto"/>
              <w:bottom w:val="nil"/>
              <w:right w:val="nil"/>
            </w:tcBorders>
            <w:vAlign w:val="center"/>
            <w:hideMark/>
          </w:tcPr>
          <w:p w:rsidR="006F09A6" w:rsidRPr="00FF3422" w:rsidRDefault="006F09A6" w:rsidP="006F09A6">
            <w:pPr>
              <w:numPr>
                <w:ilvl w:val="0"/>
                <w:numId w:val="8"/>
              </w:numPr>
              <w:tabs>
                <w:tab w:val="clear" w:pos="360"/>
                <w:tab w:val="left" w:pos="342"/>
              </w:tabs>
              <w:rPr>
                <w:sz w:val="20"/>
              </w:rPr>
            </w:pPr>
            <w:r w:rsidRPr="00FF3422">
              <w:rPr>
                <w:sz w:val="20"/>
              </w:rPr>
              <w:t>Any single insurance contract.</w:t>
            </w:r>
          </w:p>
        </w:tc>
        <w:tc>
          <w:tcPr>
            <w:tcW w:w="1985" w:type="dxa"/>
            <w:tcBorders>
              <w:top w:val="nil"/>
              <w:left w:val="single" w:sz="4" w:space="0" w:color="auto"/>
              <w:bottom w:val="nil"/>
              <w:right w:val="single" w:sz="4" w:space="0" w:color="auto"/>
            </w:tcBorders>
            <w:vAlign w:val="center"/>
            <w:hideMark/>
          </w:tcPr>
          <w:p w:rsidR="006F09A6" w:rsidRPr="00FF3422" w:rsidRDefault="006F09A6" w:rsidP="00D27F9E">
            <w:pPr>
              <w:jc w:val="center"/>
              <w:rPr>
                <w:rFonts w:cs="Arial"/>
                <w:sz w:val="20"/>
              </w:rPr>
            </w:pPr>
            <w:r w:rsidRPr="00FF3422">
              <w:rPr>
                <w:rFonts w:cs="Arial"/>
                <w:sz w:val="20"/>
              </w:rPr>
              <w:t>25%</w:t>
            </w:r>
          </w:p>
        </w:tc>
        <w:tc>
          <w:tcPr>
            <w:tcW w:w="2126" w:type="dxa"/>
            <w:tcBorders>
              <w:top w:val="nil"/>
              <w:left w:val="nil"/>
              <w:bottom w:val="nil"/>
              <w:right w:val="single" w:sz="4" w:space="0" w:color="auto"/>
            </w:tcBorders>
            <w:vAlign w:val="center"/>
            <w:hideMark/>
          </w:tcPr>
          <w:p w:rsidR="006F09A6" w:rsidRPr="00FF3422" w:rsidRDefault="006F09A6" w:rsidP="00D27F9E">
            <w:pPr>
              <w:jc w:val="center"/>
              <w:rPr>
                <w:rFonts w:cs="Arial"/>
                <w:sz w:val="20"/>
              </w:rPr>
            </w:pPr>
            <w:r w:rsidRPr="00FF3422">
              <w:rPr>
                <w:rFonts w:cs="Arial"/>
                <w:sz w:val="20"/>
              </w:rPr>
              <w:t>35%</w:t>
            </w:r>
          </w:p>
        </w:tc>
      </w:tr>
      <w:tr w:rsidR="006F09A6" w:rsidRPr="00B53B26" w:rsidTr="00D27F9E">
        <w:trPr>
          <w:trHeight w:val="848"/>
        </w:trPr>
        <w:tc>
          <w:tcPr>
            <w:tcW w:w="4644" w:type="dxa"/>
            <w:tcBorders>
              <w:top w:val="nil"/>
              <w:left w:val="single" w:sz="4" w:space="0" w:color="auto"/>
              <w:bottom w:val="single" w:sz="4" w:space="0" w:color="auto"/>
              <w:right w:val="nil"/>
            </w:tcBorders>
            <w:vAlign w:val="center"/>
            <w:hideMark/>
          </w:tcPr>
          <w:p w:rsidR="006F09A6" w:rsidRPr="00FF3422" w:rsidRDefault="006F09A6" w:rsidP="000064C6">
            <w:pPr>
              <w:numPr>
                <w:ilvl w:val="0"/>
                <w:numId w:val="8"/>
              </w:numPr>
              <w:tabs>
                <w:tab w:val="clear" w:pos="360"/>
                <w:tab w:val="left" w:pos="342"/>
              </w:tabs>
              <w:rPr>
                <w:sz w:val="20"/>
              </w:rPr>
            </w:pPr>
            <w:r w:rsidRPr="00FF3422">
              <w:rPr>
                <w:sz w:val="20"/>
              </w:rPr>
              <w:t>All securities transferred under stock lending arrangements.</w:t>
            </w:r>
          </w:p>
        </w:tc>
        <w:tc>
          <w:tcPr>
            <w:tcW w:w="1985" w:type="dxa"/>
            <w:tcBorders>
              <w:top w:val="nil"/>
              <w:left w:val="single" w:sz="4" w:space="0" w:color="auto"/>
              <w:bottom w:val="single" w:sz="4" w:space="0" w:color="auto"/>
              <w:right w:val="single" w:sz="4" w:space="0" w:color="auto"/>
            </w:tcBorders>
            <w:vAlign w:val="center"/>
            <w:hideMark/>
          </w:tcPr>
          <w:p w:rsidR="006F09A6" w:rsidRPr="00FF3422" w:rsidRDefault="006F09A6" w:rsidP="00D27F9E">
            <w:pPr>
              <w:jc w:val="center"/>
              <w:rPr>
                <w:rFonts w:cs="Arial"/>
                <w:sz w:val="20"/>
              </w:rPr>
            </w:pPr>
            <w:r w:rsidRPr="00FF3422">
              <w:rPr>
                <w:rFonts w:cs="Arial"/>
                <w:sz w:val="20"/>
              </w:rPr>
              <w:t>25%</w:t>
            </w:r>
          </w:p>
        </w:tc>
        <w:tc>
          <w:tcPr>
            <w:tcW w:w="2126" w:type="dxa"/>
            <w:tcBorders>
              <w:top w:val="nil"/>
              <w:left w:val="nil"/>
              <w:bottom w:val="single" w:sz="4" w:space="0" w:color="auto"/>
              <w:right w:val="single" w:sz="4" w:space="0" w:color="auto"/>
            </w:tcBorders>
            <w:vAlign w:val="center"/>
            <w:hideMark/>
          </w:tcPr>
          <w:p w:rsidR="006F09A6" w:rsidRPr="00FF3422" w:rsidRDefault="006F09A6" w:rsidP="00D27F9E">
            <w:pPr>
              <w:jc w:val="center"/>
              <w:rPr>
                <w:sz w:val="20"/>
              </w:rPr>
            </w:pPr>
            <w:r w:rsidRPr="00FF3422">
              <w:rPr>
                <w:rFonts w:cs="Arial"/>
                <w:sz w:val="20"/>
              </w:rPr>
              <w:t xml:space="preserve">35% </w:t>
            </w:r>
          </w:p>
        </w:tc>
      </w:tr>
    </w:tbl>
    <w:p w:rsidR="006F09A6" w:rsidRDefault="006F09A6" w:rsidP="006F09A6">
      <w:pPr>
        <w:pStyle w:val="Header"/>
        <w:rPr>
          <w:rFonts w:cs="Arial"/>
          <w:szCs w:val="24"/>
        </w:rPr>
      </w:pPr>
    </w:p>
    <w:p w:rsidR="00E84A8E" w:rsidRDefault="00E84A8E" w:rsidP="006F09A6">
      <w:pPr>
        <w:pStyle w:val="Header"/>
        <w:rPr>
          <w:rFonts w:cs="Arial"/>
          <w:szCs w:val="24"/>
        </w:rPr>
      </w:pPr>
    </w:p>
    <w:p w:rsidR="00E84A8E" w:rsidRDefault="00E84A8E" w:rsidP="006F09A6">
      <w:pPr>
        <w:pStyle w:val="Header"/>
        <w:rPr>
          <w:rFonts w:cs="Arial"/>
          <w:szCs w:val="24"/>
        </w:rPr>
      </w:pPr>
    </w:p>
    <w:p w:rsidR="00E84A8E" w:rsidRDefault="00E84A8E" w:rsidP="006F09A6">
      <w:pPr>
        <w:pStyle w:val="Header"/>
        <w:rPr>
          <w:rFonts w:cs="Arial"/>
          <w:szCs w:val="24"/>
        </w:rPr>
      </w:pPr>
    </w:p>
    <w:p w:rsidR="00E84A8E" w:rsidRDefault="00E84A8E" w:rsidP="006F09A6">
      <w:pPr>
        <w:pStyle w:val="Header"/>
        <w:rPr>
          <w:rFonts w:cs="Arial"/>
          <w:szCs w:val="24"/>
        </w:rPr>
      </w:pPr>
    </w:p>
    <w:p w:rsidR="002608DA" w:rsidRPr="006D2713" w:rsidRDefault="002608DA" w:rsidP="002608DA">
      <w:pPr>
        <w:jc w:val="both"/>
        <w:rPr>
          <w:u w:val="single"/>
        </w:rPr>
      </w:pPr>
      <w:r w:rsidRPr="006D2713">
        <w:rPr>
          <w:rFonts w:cs="Arial"/>
          <w:u w:val="single"/>
        </w:rPr>
        <w:lastRenderedPageBreak/>
        <w:t>Stock Lending</w:t>
      </w:r>
    </w:p>
    <w:p w:rsidR="002608DA" w:rsidRPr="000946DA" w:rsidRDefault="002608DA" w:rsidP="002608DA">
      <w:pPr>
        <w:jc w:val="both"/>
        <w:rPr>
          <w:rFonts w:cs="Arial"/>
          <w:szCs w:val="24"/>
        </w:rPr>
      </w:pPr>
    </w:p>
    <w:p w:rsidR="002608DA" w:rsidRDefault="002608DA" w:rsidP="002608DA">
      <w:pPr>
        <w:pStyle w:val="Header"/>
        <w:rPr>
          <w:rFonts w:cs="Arial"/>
          <w:szCs w:val="24"/>
        </w:rPr>
      </w:pPr>
      <w:r w:rsidRPr="000946DA">
        <w:rPr>
          <w:rFonts w:cs="Arial"/>
        </w:rPr>
        <w:t xml:space="preserve">Stock lending is undertaken up to the </w:t>
      </w:r>
      <w:r w:rsidRPr="00D0741A">
        <w:rPr>
          <w:rFonts w:cs="Arial"/>
        </w:rPr>
        <w:t>35%</w:t>
      </w:r>
      <w:r w:rsidR="008C0F29">
        <w:rPr>
          <w:rFonts w:cs="Arial"/>
        </w:rPr>
        <w:t xml:space="preserve"> limit above</w:t>
      </w:r>
      <w:r w:rsidRPr="000946DA">
        <w:rPr>
          <w:rFonts w:cs="Arial"/>
        </w:rPr>
        <w:t xml:space="preserve">. The programme is </w:t>
      </w:r>
      <w:r>
        <w:rPr>
          <w:rFonts w:cs="Arial"/>
        </w:rPr>
        <w:t xml:space="preserve">run by the Fund's Custodian, which </w:t>
      </w:r>
      <w:r w:rsidRPr="000946DA">
        <w:rPr>
          <w:rFonts w:cs="Arial"/>
        </w:rPr>
        <w:t>monitor</w:t>
      </w:r>
      <w:r>
        <w:rPr>
          <w:rFonts w:cs="Arial"/>
        </w:rPr>
        <w:t>s</w:t>
      </w:r>
      <w:r w:rsidRPr="000946DA">
        <w:rPr>
          <w:rFonts w:cs="Arial"/>
        </w:rPr>
        <w:t xml:space="preserve"> performance, limit and counterparty credit adherence, and voting requirements</w:t>
      </w:r>
    </w:p>
    <w:p w:rsidR="007856BA" w:rsidRDefault="007856BA" w:rsidP="006F09A6">
      <w:pPr>
        <w:pStyle w:val="Header"/>
        <w:rPr>
          <w:rFonts w:cs="Arial"/>
          <w:szCs w:val="24"/>
        </w:rPr>
      </w:pPr>
    </w:p>
    <w:p w:rsidR="007856BA" w:rsidRPr="00954956" w:rsidRDefault="007856BA" w:rsidP="007856BA">
      <w:pPr>
        <w:pStyle w:val="Heading4"/>
        <w:rPr>
          <w:rFonts w:cs="Arial"/>
          <w:u w:val="none"/>
        </w:rPr>
      </w:pPr>
      <w:r w:rsidRPr="00954956">
        <w:rPr>
          <w:rFonts w:cs="Arial"/>
          <w:u w:val="none"/>
        </w:rPr>
        <w:t>Policy on Risk</w:t>
      </w:r>
    </w:p>
    <w:p w:rsidR="007856BA" w:rsidRPr="009F6564" w:rsidRDefault="007856BA" w:rsidP="007856BA">
      <w:pPr>
        <w:rPr>
          <w:rFonts w:cs="Arial"/>
          <w:szCs w:val="24"/>
          <w:highlight w:val="yellow"/>
        </w:rPr>
      </w:pPr>
    </w:p>
    <w:p w:rsidR="007856BA" w:rsidRPr="00FF5267" w:rsidRDefault="007856BA" w:rsidP="007856BA">
      <w:r w:rsidRPr="00954956">
        <w:rPr>
          <w:rFonts w:cs="Arial"/>
        </w:rPr>
        <w:t>The overriding objective of the Fund in respect of its investments is to minimise</w:t>
      </w:r>
      <w:r w:rsidRPr="00FF5267">
        <w:rPr>
          <w:rFonts w:cs="Arial"/>
        </w:rPr>
        <w:t xml:space="preserve"> risk and maximise return while reducing volatility.  The structure of the investment management arrangements has been implemented in order to produce a balanced spread of risk for the portfolio.</w:t>
      </w:r>
    </w:p>
    <w:p w:rsidR="00530DAE" w:rsidRPr="00FF5267" w:rsidRDefault="00530DAE" w:rsidP="00530DAE">
      <w:pPr>
        <w:rPr>
          <w:rFonts w:cs="Arial"/>
          <w:szCs w:val="24"/>
        </w:rPr>
      </w:pPr>
    </w:p>
    <w:p w:rsidR="008C0F29" w:rsidRDefault="00530DAE" w:rsidP="006D2713">
      <w:pPr>
        <w:rPr>
          <w:rFonts w:cs="Arial"/>
        </w:rPr>
      </w:pPr>
      <w:r w:rsidRPr="006D2713">
        <w:rPr>
          <w:rFonts w:cs="Arial"/>
        </w:rPr>
        <w:t>Operational risk is minimised by having custody of the Fund's financial assets provided by a regulated, external, third party, professional custodian</w:t>
      </w:r>
      <w:r w:rsidR="004E6234" w:rsidRPr="006D2713">
        <w:rPr>
          <w:rFonts w:cs="Arial"/>
        </w:rPr>
        <w:t xml:space="preserve">. </w:t>
      </w:r>
    </w:p>
    <w:p w:rsidR="008C0F29" w:rsidRDefault="008C0F29" w:rsidP="006D2713">
      <w:pPr>
        <w:rPr>
          <w:rFonts w:cs="Arial"/>
        </w:rPr>
      </w:pPr>
    </w:p>
    <w:p w:rsidR="004E6234" w:rsidRPr="006D2713" w:rsidRDefault="004E6234" w:rsidP="006D2713">
      <w:pPr>
        <w:rPr>
          <w:rFonts w:cs="Arial"/>
        </w:rPr>
      </w:pPr>
      <w:r w:rsidRPr="006D2713">
        <w:rPr>
          <w:rFonts w:cs="Arial"/>
        </w:rPr>
        <w:t xml:space="preserve">The </w:t>
      </w:r>
      <w:r w:rsidR="00530DAE" w:rsidRPr="004E6234">
        <w:rPr>
          <w:rFonts w:cs="Arial"/>
        </w:rPr>
        <w:t xml:space="preserve">Fund’s Global Custodian is </w:t>
      </w:r>
      <w:r w:rsidR="00530DAE" w:rsidRPr="006D2713">
        <w:rPr>
          <w:rFonts w:cs="Arial"/>
        </w:rPr>
        <w:t>Northern Trust.</w:t>
      </w:r>
      <w:r w:rsidR="008C0F29">
        <w:rPr>
          <w:rFonts w:cs="Arial"/>
        </w:rPr>
        <w:t xml:space="preserve">  </w:t>
      </w:r>
      <w:r w:rsidR="00530DAE" w:rsidRPr="006D2713">
        <w:rPr>
          <w:rFonts w:cs="Arial"/>
        </w:rPr>
        <w:t>All public market investments are held in nominee accounts of Northern Trust.</w:t>
      </w:r>
    </w:p>
    <w:p w:rsidR="004E6234" w:rsidRPr="006D2713" w:rsidRDefault="004E6234" w:rsidP="006D2713">
      <w:pPr>
        <w:rPr>
          <w:rFonts w:cs="Arial"/>
        </w:rPr>
      </w:pPr>
      <w:r w:rsidRPr="006D2713">
        <w:rPr>
          <w:rFonts w:cs="Arial"/>
        </w:rPr>
        <w:t xml:space="preserve"> </w:t>
      </w:r>
    </w:p>
    <w:p w:rsidR="00530DAE" w:rsidRPr="006D2713" w:rsidRDefault="00530DAE" w:rsidP="006D2713">
      <w:pPr>
        <w:rPr>
          <w:rFonts w:cs="Arial"/>
        </w:rPr>
      </w:pPr>
      <w:r w:rsidRPr="006D2713">
        <w:rPr>
          <w:rFonts w:cs="Arial"/>
        </w:rPr>
        <w:t>All private market investments, including interests in private equity, property and other pooled funds are held directly in the name of Lancashire County Council as administering authority of the Lancashire County Pension Fund</w:t>
      </w:r>
      <w:r w:rsidR="004E6234" w:rsidRPr="006D2713">
        <w:rPr>
          <w:rFonts w:cs="Arial"/>
        </w:rPr>
        <w:t>.  N</w:t>
      </w:r>
      <w:r w:rsidRPr="006D2713">
        <w:rPr>
          <w:rFonts w:cs="Arial"/>
        </w:rPr>
        <w:t>orthern Trust provid</w:t>
      </w:r>
      <w:r w:rsidR="004E6234" w:rsidRPr="006D2713">
        <w:rPr>
          <w:rFonts w:cs="Arial"/>
        </w:rPr>
        <w:t>es</w:t>
      </w:r>
      <w:r w:rsidRPr="006D2713">
        <w:rPr>
          <w:rFonts w:cs="Arial"/>
        </w:rPr>
        <w:t xml:space="preserve"> detailed investment accounting and reconciliation services</w:t>
      </w:r>
      <w:r w:rsidR="004E6234" w:rsidRPr="006D2713">
        <w:rPr>
          <w:rFonts w:cs="Arial"/>
        </w:rPr>
        <w:t xml:space="preserve"> for all private market investments.</w:t>
      </w:r>
    </w:p>
    <w:p w:rsidR="00530DAE" w:rsidRDefault="00530DAE" w:rsidP="00530DAE">
      <w:pPr>
        <w:ind w:left="360"/>
      </w:pPr>
    </w:p>
    <w:p w:rsidR="00530DAE" w:rsidRPr="00FF5267" w:rsidRDefault="00530DAE" w:rsidP="00530DAE">
      <w:pPr>
        <w:pStyle w:val="Heading4"/>
        <w:rPr>
          <w:rFonts w:cs="Arial"/>
          <w:b w:val="0"/>
          <w:u w:val="none"/>
        </w:rPr>
      </w:pPr>
      <w:r w:rsidRPr="00FF5267">
        <w:rPr>
          <w:rFonts w:cs="Arial"/>
          <w:b w:val="0"/>
          <w:u w:val="none"/>
        </w:rPr>
        <w:t>The title deeds in respect of the Fund’s property holdings are held by Lancashire County Council and its property solicitors</w:t>
      </w:r>
    </w:p>
    <w:p w:rsidR="007856BA" w:rsidRPr="00954956" w:rsidRDefault="007856BA" w:rsidP="006F09A6">
      <w:pPr>
        <w:pStyle w:val="Header"/>
        <w:rPr>
          <w:rFonts w:cs="Arial"/>
          <w:szCs w:val="24"/>
        </w:rPr>
      </w:pPr>
    </w:p>
    <w:p w:rsidR="006F09A6" w:rsidRPr="00530DAE" w:rsidRDefault="007856BA" w:rsidP="006F09A6">
      <w:pPr>
        <w:pStyle w:val="Heading4"/>
        <w:rPr>
          <w:rFonts w:cs="Arial"/>
          <w:u w:val="none"/>
        </w:rPr>
      </w:pPr>
      <w:r w:rsidRPr="007856BA">
        <w:rPr>
          <w:rFonts w:cs="Arial"/>
          <w:u w:val="none"/>
        </w:rPr>
        <w:t>The expected return on investments</w:t>
      </w:r>
    </w:p>
    <w:p w:rsidR="007B4D86" w:rsidRDefault="007B4D86" w:rsidP="006D2713"/>
    <w:p w:rsidR="006F09A6" w:rsidRDefault="001A115E" w:rsidP="006F09A6">
      <w:pPr>
        <w:rPr>
          <w:rFonts w:cs="Arial"/>
          <w:snapToGrid w:val="0"/>
          <w:lang w:eastAsia="en-US"/>
        </w:rPr>
      </w:pPr>
      <w:r w:rsidRPr="006D2713">
        <w:rPr>
          <w:rFonts w:cs="Arial"/>
          <w:snapToGrid w:val="0"/>
          <w:lang w:eastAsia="en-US"/>
        </w:rPr>
        <w:t xml:space="preserve">Each manager is expected to achieve an excess return on the assets under their management greater than the relevant benchmark. In assessing performance of each manager the </w:t>
      </w:r>
      <w:r w:rsidR="007856BA">
        <w:rPr>
          <w:rFonts w:cs="Arial"/>
          <w:snapToGrid w:val="0"/>
          <w:lang w:eastAsia="en-US"/>
        </w:rPr>
        <w:t>Investment</w:t>
      </w:r>
      <w:r w:rsidRPr="006D2713">
        <w:rPr>
          <w:rFonts w:cs="Arial"/>
          <w:snapToGrid w:val="0"/>
          <w:lang w:eastAsia="en-US"/>
        </w:rPr>
        <w:t xml:space="preserve"> Panel takes in to account the long-term nature of the investment process and returns are judged primarily on an annualised basis over a rolling three-year period. The </w:t>
      </w:r>
      <w:r w:rsidR="007856BA">
        <w:rPr>
          <w:rFonts w:cs="Arial"/>
          <w:snapToGrid w:val="0"/>
          <w:lang w:eastAsia="en-US"/>
        </w:rPr>
        <w:t>Investment</w:t>
      </w:r>
      <w:r w:rsidRPr="006D2713">
        <w:rPr>
          <w:rFonts w:cs="Arial"/>
          <w:snapToGrid w:val="0"/>
          <w:lang w:eastAsia="en-US"/>
        </w:rPr>
        <w:t xml:space="preserve"> Panel reviews the appointment of each manager at least every three years or such shorter period as may be necessary</w:t>
      </w:r>
      <w:r w:rsidR="008C0F29">
        <w:rPr>
          <w:rFonts w:cs="Arial"/>
          <w:snapToGrid w:val="0"/>
          <w:lang w:eastAsia="en-US"/>
        </w:rPr>
        <w:t>.  The targets and benchmarks in place are as follows:</w:t>
      </w:r>
    </w:p>
    <w:p w:rsidR="008C0F29" w:rsidRPr="00FF5267" w:rsidRDefault="008C0F29" w:rsidP="006F09A6">
      <w:pPr>
        <w:rPr>
          <w:rFonts w:cs="Arial"/>
          <w:szCs w:val="24"/>
        </w:rPr>
      </w:pPr>
    </w:p>
    <w:p w:rsidR="006F09A6" w:rsidRPr="00626F86" w:rsidRDefault="009B102F" w:rsidP="006F09A6">
      <w:pPr>
        <w:numPr>
          <w:ilvl w:val="0"/>
          <w:numId w:val="9"/>
        </w:numPr>
      </w:pPr>
      <w:r w:rsidRPr="00626F86">
        <w:t xml:space="preserve">The </w:t>
      </w:r>
      <w:r w:rsidR="00A17222" w:rsidRPr="00626F86">
        <w:t xml:space="preserve">Global Equity specialist managers </w:t>
      </w:r>
      <w:r w:rsidR="009F6564" w:rsidRPr="00626F86">
        <w:t>have a target to</w:t>
      </w:r>
      <w:r w:rsidR="00A17222" w:rsidRPr="00626F86">
        <w:t xml:space="preserve"> outperform the </w:t>
      </w:r>
      <w:r w:rsidR="009F6564" w:rsidRPr="00626F86">
        <w:t xml:space="preserve">MSCI All World </w:t>
      </w:r>
      <w:proofErr w:type="gramStart"/>
      <w:r w:rsidR="009F6564" w:rsidRPr="00626F86">
        <w:t xml:space="preserve">index </w:t>
      </w:r>
      <w:r w:rsidR="00A17222" w:rsidRPr="00626F86">
        <w:t xml:space="preserve"> by</w:t>
      </w:r>
      <w:proofErr w:type="gramEnd"/>
      <w:r w:rsidR="00A17222" w:rsidRPr="00626F86">
        <w:t xml:space="preserve"> </w:t>
      </w:r>
      <w:r w:rsidR="009F6564" w:rsidRPr="00626F86">
        <w:t>2</w:t>
      </w:r>
      <w:r w:rsidR="00A17222" w:rsidRPr="00626F86">
        <w:t>.5% (net of fees) on a rolling three year basis.</w:t>
      </w:r>
      <w:r w:rsidR="009F6564" w:rsidRPr="00626F86">
        <w:t xml:space="preserve">  They are benchmarked against the MSCI All World index</w:t>
      </w:r>
    </w:p>
    <w:p w:rsidR="006F09A6" w:rsidRPr="008C0F29" w:rsidRDefault="001A115E" w:rsidP="006D2713">
      <w:pPr>
        <w:numPr>
          <w:ilvl w:val="0"/>
          <w:numId w:val="9"/>
        </w:numPr>
      </w:pPr>
      <w:r w:rsidRPr="008C0F29">
        <w:t xml:space="preserve">The </w:t>
      </w:r>
      <w:r w:rsidR="00107AF7" w:rsidRPr="008C0F29">
        <w:t>Government Bonds</w:t>
      </w:r>
      <w:r w:rsidRPr="008C0F29">
        <w:t xml:space="preserve"> manager is expected to outperform the </w:t>
      </w:r>
      <w:r w:rsidR="00107AF7" w:rsidRPr="008C0F29">
        <w:t xml:space="preserve">FTSE All  Stocks </w:t>
      </w:r>
      <w:r w:rsidR="00601FA6" w:rsidRPr="008C0F29">
        <w:t>b</w:t>
      </w:r>
      <w:r w:rsidRPr="008C0F29">
        <w:t>enchmark performance return by 0.75% (net of fees) on a rolling three year basis</w:t>
      </w:r>
    </w:p>
    <w:p w:rsidR="003D37DD" w:rsidRDefault="003D37DD" w:rsidP="006F09A6">
      <w:pPr>
        <w:numPr>
          <w:ilvl w:val="0"/>
          <w:numId w:val="9"/>
        </w:numPr>
      </w:pPr>
      <w:r>
        <w:t xml:space="preserve">The Corporate Bonds manager is expected to outperform the </w:t>
      </w:r>
      <w:r w:rsidR="008C0F29">
        <w:t>IBOXX</w:t>
      </w:r>
      <w:r>
        <w:t xml:space="preserve"> sterling Non Gilts benchmark</w:t>
      </w:r>
      <w:r w:rsidR="000E1D45">
        <w:t xml:space="preserve"> on a rolling three year basis</w:t>
      </w:r>
      <w:r>
        <w:t>.</w:t>
      </w:r>
    </w:p>
    <w:p w:rsidR="003D37DD" w:rsidRDefault="003D37DD" w:rsidP="006F09A6">
      <w:pPr>
        <w:numPr>
          <w:ilvl w:val="0"/>
          <w:numId w:val="9"/>
        </w:numPr>
      </w:pPr>
      <w:r>
        <w:t xml:space="preserve">Bonds </w:t>
      </w:r>
      <w:r w:rsidR="00B45DAE">
        <w:t xml:space="preserve">and cash </w:t>
      </w:r>
      <w:r>
        <w:t xml:space="preserve">held </w:t>
      </w:r>
      <w:r w:rsidR="00601FA6">
        <w:t>for</w:t>
      </w:r>
      <w:r>
        <w:t xml:space="preserve"> </w:t>
      </w:r>
      <w:r w:rsidR="00601FA6">
        <w:t>t</w:t>
      </w:r>
      <w:r>
        <w:t xml:space="preserve">reasury </w:t>
      </w:r>
      <w:r w:rsidR="00601FA6">
        <w:t>m</w:t>
      </w:r>
      <w:r>
        <w:t>anagement purposes are expected to outperform the FT 7 day LIBID</w:t>
      </w:r>
    </w:p>
    <w:p w:rsidR="006F09A6" w:rsidRPr="00626F86" w:rsidRDefault="009B102F" w:rsidP="006F09A6">
      <w:pPr>
        <w:numPr>
          <w:ilvl w:val="0"/>
          <w:numId w:val="9"/>
        </w:numPr>
      </w:pPr>
      <w:r w:rsidRPr="00626F86">
        <w:lastRenderedPageBreak/>
        <w:t xml:space="preserve">The Private Equity Manager </w:t>
      </w:r>
      <w:r w:rsidR="009F6564" w:rsidRPr="00626F86">
        <w:t>has a target</w:t>
      </w:r>
      <w:r w:rsidR="00A17222" w:rsidRPr="00626F86">
        <w:t xml:space="preserve"> </w:t>
      </w:r>
      <w:r w:rsidRPr="00626F86">
        <w:t>to outperform the median return in the British Venture Capital Association (BVCA) survey of Private Equity returns by 3%.</w:t>
      </w:r>
      <w:r w:rsidR="009F6564" w:rsidRPr="00626F86">
        <w:t xml:space="preserve">  The Private Equity benchmark is FTSE </w:t>
      </w:r>
      <w:r w:rsidR="004C7289" w:rsidRPr="00626F86">
        <w:t>All Share</w:t>
      </w:r>
    </w:p>
    <w:p w:rsidR="00107AF7" w:rsidRPr="00DE3E94" w:rsidRDefault="00107AF7" w:rsidP="006F09A6">
      <w:pPr>
        <w:numPr>
          <w:ilvl w:val="0"/>
          <w:numId w:val="9"/>
        </w:numPr>
      </w:pPr>
      <w:r w:rsidRPr="00DE3E94">
        <w:t>The Infrastructure manager</w:t>
      </w:r>
      <w:r w:rsidR="008C0F29">
        <w:t>s</w:t>
      </w:r>
      <w:r w:rsidRPr="00DE3E94">
        <w:t xml:space="preserve"> </w:t>
      </w:r>
      <w:r w:rsidR="008C0F29">
        <w:t>are</w:t>
      </w:r>
      <w:r w:rsidR="003D37DD" w:rsidRPr="00DE3E94">
        <w:t xml:space="preserve"> expected to outperform </w:t>
      </w:r>
      <w:r w:rsidR="00601FA6">
        <w:t>an 8%</w:t>
      </w:r>
      <w:r w:rsidR="003D37DD" w:rsidRPr="00DE3E94">
        <w:t xml:space="preserve"> </w:t>
      </w:r>
      <w:r w:rsidR="00601FA6">
        <w:t>a</w:t>
      </w:r>
      <w:r w:rsidR="003D37DD" w:rsidRPr="00DE3E94">
        <w:t>bsolute benchmark</w:t>
      </w:r>
      <w:r w:rsidR="000E1D45" w:rsidRPr="00DE3E94">
        <w:t xml:space="preserve"> on a rolling three year basis</w:t>
      </w:r>
      <w:r w:rsidR="003D37DD" w:rsidRPr="00DE3E94">
        <w:t>.</w:t>
      </w:r>
    </w:p>
    <w:p w:rsidR="006F09A6" w:rsidRDefault="00107AF7" w:rsidP="006F09A6">
      <w:pPr>
        <w:numPr>
          <w:ilvl w:val="0"/>
          <w:numId w:val="9"/>
        </w:numPr>
      </w:pPr>
      <w:r w:rsidRPr="00DE3E94">
        <w:t xml:space="preserve">The Non Investment grade </w:t>
      </w:r>
      <w:r w:rsidR="003D37DD" w:rsidRPr="00DE3E94">
        <w:t xml:space="preserve">bond mandate is expected to outperform the Credit Suisse leveraged loan BB &amp; B Benchmark </w:t>
      </w:r>
      <w:r w:rsidR="00DE3E94" w:rsidRPr="00DE3E94">
        <w:t>on a rolling three year basis</w:t>
      </w:r>
      <w:r w:rsidR="001A115E" w:rsidRPr="006D2713">
        <w:t xml:space="preserve">. </w:t>
      </w:r>
    </w:p>
    <w:p w:rsidR="008C0F29" w:rsidRPr="008C0F29" w:rsidRDefault="008C0F29" w:rsidP="008C0F29">
      <w:pPr>
        <w:numPr>
          <w:ilvl w:val="0"/>
          <w:numId w:val="9"/>
        </w:numPr>
      </w:pPr>
      <w:r w:rsidRPr="009B0CB3">
        <w:t>The property manager is expected to outperform the IPD</w:t>
      </w:r>
      <w:r w:rsidRPr="006D2713">
        <w:t xml:space="preserve"> All Property </w:t>
      </w:r>
      <w:r>
        <w:t>Index</w:t>
      </w:r>
      <w:r w:rsidRPr="00105740">
        <w:t xml:space="preserve"> Benchmark return on a rolling three year basis</w:t>
      </w:r>
      <w:r w:rsidRPr="008C0F29">
        <w:t xml:space="preserve">. </w:t>
      </w:r>
    </w:p>
    <w:p w:rsidR="008C0F29" w:rsidRPr="00DE3E94" w:rsidRDefault="008C0F29" w:rsidP="008C0F29">
      <w:pPr>
        <w:ind w:left="360"/>
      </w:pPr>
    </w:p>
    <w:p w:rsidR="009954B6" w:rsidRPr="008C0F29" w:rsidRDefault="009954B6" w:rsidP="009954B6">
      <w:pPr>
        <w:pStyle w:val="Heading4"/>
        <w:rPr>
          <w:rFonts w:cs="Arial"/>
          <w:b w:val="0"/>
        </w:rPr>
      </w:pPr>
      <w:r w:rsidRPr="008C0F29">
        <w:rPr>
          <w:rFonts w:cs="Arial"/>
          <w:b w:val="0"/>
        </w:rPr>
        <w:t>Monitoring and Review</w:t>
      </w:r>
    </w:p>
    <w:p w:rsidR="009954B6" w:rsidRPr="00FF5267" w:rsidRDefault="009954B6" w:rsidP="009954B6">
      <w:pPr>
        <w:rPr>
          <w:rFonts w:cs="Arial"/>
          <w:szCs w:val="24"/>
        </w:rPr>
      </w:pPr>
    </w:p>
    <w:p w:rsidR="009954B6" w:rsidRDefault="009954B6" w:rsidP="009954B6">
      <w:pPr>
        <w:rPr>
          <w:rFonts w:cs="Arial"/>
        </w:rPr>
      </w:pPr>
      <w:r w:rsidRPr="00FF5267">
        <w:rPr>
          <w:rFonts w:cs="Arial"/>
        </w:rPr>
        <w:t>The investment activities of the Fund’s Investment Managers are reviewed at each Panel meeting and reported on to the Pension Fund Committee.  At these meetings, asset allocation and investment performance of the Investment Managers is reviewed.</w:t>
      </w:r>
    </w:p>
    <w:p w:rsidR="008C0F29" w:rsidRPr="00FF5267" w:rsidRDefault="008C0F29" w:rsidP="009954B6"/>
    <w:p w:rsidR="008C0F29" w:rsidRDefault="008C0F29" w:rsidP="008C0F29">
      <w:pPr>
        <w:rPr>
          <w:highlight w:val="yellow"/>
        </w:rPr>
      </w:pPr>
      <w:r w:rsidRPr="009B0CB3">
        <w:t>The WM survey of Local Authority Pension Fund returns is also used by the Fund for comparative information purposes.</w:t>
      </w:r>
      <w:r w:rsidRPr="00105740">
        <w:rPr>
          <w:highlight w:val="yellow"/>
        </w:rPr>
        <w:t xml:space="preserve"> </w:t>
      </w:r>
    </w:p>
    <w:p w:rsidR="009954B6" w:rsidRPr="00FF5267" w:rsidRDefault="009954B6" w:rsidP="009954B6">
      <w:pPr>
        <w:rPr>
          <w:rFonts w:cs="Arial"/>
          <w:szCs w:val="24"/>
        </w:rPr>
      </w:pPr>
    </w:p>
    <w:p w:rsidR="009954B6" w:rsidRPr="00FF5267" w:rsidRDefault="009954B6" w:rsidP="009954B6">
      <w:r w:rsidRPr="00FF5267">
        <w:rPr>
          <w:rFonts w:cs="Arial"/>
        </w:rPr>
        <w:t>The Fund’s Actuary carries out a triennial review of the Fund and sets the employers’ contribution rates for each three year period.  Details of investment strategy and activity are an important element of the actuarial review.</w:t>
      </w:r>
    </w:p>
    <w:p w:rsidR="009954B6" w:rsidRPr="00FF5267" w:rsidRDefault="009954B6" w:rsidP="009954B6">
      <w:pPr>
        <w:rPr>
          <w:rFonts w:cs="Arial"/>
          <w:szCs w:val="24"/>
        </w:rPr>
      </w:pPr>
    </w:p>
    <w:p w:rsidR="009954B6" w:rsidRPr="00FF5267" w:rsidRDefault="009954B6" w:rsidP="009954B6">
      <w:pPr>
        <w:ind w:right="-180"/>
      </w:pPr>
      <w:r w:rsidRPr="00FF5267">
        <w:rPr>
          <w:rFonts w:cs="Arial"/>
        </w:rPr>
        <w:t>The Annual Report is produced by the Treasurer for all employing bodies within the Fund, and this report, together with various information bulletins produced in respect of the Pension Scheme, provides details of Investment Policy and performance relating to the Investment Managers.  Extracts from the Report are circulated to all members with the Fund’s newsletter and are posted on the Fund’s web site (www.yourpensionservice.org.uk).</w:t>
      </w:r>
    </w:p>
    <w:p w:rsidR="006F09A6" w:rsidRPr="00FF5267" w:rsidRDefault="006F09A6" w:rsidP="006F09A6">
      <w:pPr>
        <w:rPr>
          <w:rFonts w:cs="Arial"/>
          <w:szCs w:val="24"/>
        </w:rPr>
      </w:pPr>
    </w:p>
    <w:p w:rsidR="006F09A6" w:rsidRPr="00FF5267" w:rsidRDefault="006F09A6" w:rsidP="006F09A6">
      <w:pPr>
        <w:pStyle w:val="Heading4"/>
        <w:rPr>
          <w:rFonts w:cs="Arial"/>
          <w:u w:val="none"/>
        </w:rPr>
      </w:pPr>
      <w:r w:rsidRPr="00FF5267">
        <w:rPr>
          <w:rFonts w:cs="Arial"/>
          <w:u w:val="none"/>
        </w:rPr>
        <w:t>Policy on Realisation of Investments</w:t>
      </w:r>
    </w:p>
    <w:p w:rsidR="006F09A6" w:rsidRPr="00FF5267" w:rsidRDefault="006F09A6" w:rsidP="006F09A6">
      <w:pPr>
        <w:rPr>
          <w:rFonts w:cs="Arial"/>
          <w:szCs w:val="24"/>
        </w:rPr>
      </w:pPr>
    </w:p>
    <w:p w:rsidR="009F6564" w:rsidRDefault="009F6564" w:rsidP="006F09A6">
      <w:pPr>
        <w:rPr>
          <w:rFonts w:cs="Arial"/>
        </w:rPr>
      </w:pPr>
      <w:r w:rsidRPr="00FF5267">
        <w:rPr>
          <w:rFonts w:cs="Arial"/>
        </w:rPr>
        <w:t>As the Fund is cash flow positive</w:t>
      </w:r>
      <w:r w:rsidR="00601FA6">
        <w:rPr>
          <w:rFonts w:cs="Arial"/>
        </w:rPr>
        <w:t xml:space="preserve"> after including investment income</w:t>
      </w:r>
      <w:r w:rsidRPr="00FF5267">
        <w:rPr>
          <w:rFonts w:cs="Arial"/>
        </w:rPr>
        <w:t>, there is no need to realise investments in order to pay for benefits.</w:t>
      </w:r>
    </w:p>
    <w:p w:rsidR="009F6564" w:rsidRDefault="009F6564" w:rsidP="006F09A6">
      <w:pPr>
        <w:rPr>
          <w:rFonts w:cs="Arial"/>
        </w:rPr>
      </w:pPr>
    </w:p>
    <w:p w:rsidR="009F6564" w:rsidRDefault="009F6564" w:rsidP="006F09A6">
      <w:pPr>
        <w:rPr>
          <w:rFonts w:cs="Arial"/>
        </w:rPr>
      </w:pPr>
      <w:r>
        <w:rPr>
          <w:rFonts w:cs="Arial"/>
        </w:rPr>
        <w:t>The Fund Managers realise investments as and when they consider appropriate in accordance with their management discretion.  The Treasurer having received advice from the Investment Panel approves the realisation of pooled funds and properties</w:t>
      </w:r>
      <w:r w:rsidR="00D13D37">
        <w:rPr>
          <w:rFonts w:cs="Arial"/>
        </w:rPr>
        <w:t>.</w:t>
      </w:r>
    </w:p>
    <w:p w:rsidR="00D13D37" w:rsidRDefault="00D13D37" w:rsidP="006F09A6">
      <w:pPr>
        <w:rPr>
          <w:rFonts w:cs="Arial"/>
        </w:rPr>
      </w:pPr>
    </w:p>
    <w:p w:rsidR="00D13D37" w:rsidRDefault="00D13D37" w:rsidP="006F09A6">
      <w:pPr>
        <w:rPr>
          <w:rFonts w:cs="Arial"/>
        </w:rPr>
      </w:pPr>
      <w:r>
        <w:rPr>
          <w:rFonts w:cs="Arial"/>
        </w:rPr>
        <w:t xml:space="preserve">Where investments are held in portfolios with a discretionary investment mandate, the funds realised are held to the account of the Investment Manager for reinvestment.  In all other cases, the funds realised are as cash and managed </w:t>
      </w:r>
      <w:r w:rsidR="00B45DAE">
        <w:rPr>
          <w:rFonts w:cs="Arial"/>
        </w:rPr>
        <w:t>through the Fund's usual treasury management processes.</w:t>
      </w:r>
      <w:r w:rsidR="00B45DAE" w:rsidRPr="00B45DAE">
        <w:rPr>
          <w:rFonts w:cs="Arial"/>
        </w:rPr>
        <w:t xml:space="preserve"> </w:t>
      </w:r>
    </w:p>
    <w:p w:rsidR="006F09A6" w:rsidRDefault="006F09A6" w:rsidP="006F09A6">
      <w:pPr>
        <w:rPr>
          <w:rFonts w:cs="Arial"/>
          <w:szCs w:val="24"/>
        </w:rPr>
      </w:pPr>
    </w:p>
    <w:p w:rsidR="00E84A8E" w:rsidRDefault="00E84A8E" w:rsidP="006F09A6">
      <w:pPr>
        <w:rPr>
          <w:rFonts w:cs="Arial"/>
          <w:szCs w:val="24"/>
        </w:rPr>
      </w:pPr>
    </w:p>
    <w:p w:rsidR="00E84A8E" w:rsidRDefault="00E84A8E" w:rsidP="006F09A6">
      <w:pPr>
        <w:rPr>
          <w:rFonts w:cs="Arial"/>
          <w:szCs w:val="24"/>
        </w:rPr>
      </w:pPr>
    </w:p>
    <w:p w:rsidR="00E84A8E" w:rsidRPr="00FF5267" w:rsidRDefault="00E84A8E" w:rsidP="006F09A6">
      <w:pPr>
        <w:rPr>
          <w:rFonts w:cs="Arial"/>
          <w:szCs w:val="24"/>
        </w:rPr>
      </w:pPr>
    </w:p>
    <w:p w:rsidR="006F09A6" w:rsidRPr="00FF5267" w:rsidRDefault="006F09A6" w:rsidP="006F09A6">
      <w:pPr>
        <w:pStyle w:val="Heading4"/>
        <w:rPr>
          <w:rFonts w:cs="Arial"/>
          <w:u w:val="none"/>
        </w:rPr>
      </w:pPr>
      <w:r w:rsidRPr="00FF5267">
        <w:rPr>
          <w:rFonts w:cs="Arial"/>
          <w:u w:val="none"/>
        </w:rPr>
        <w:lastRenderedPageBreak/>
        <w:t>Social, Environmental and Ethical Considerations</w:t>
      </w:r>
    </w:p>
    <w:p w:rsidR="006F09A6" w:rsidRPr="00FF5267" w:rsidRDefault="006F09A6" w:rsidP="006F09A6">
      <w:pPr>
        <w:rPr>
          <w:rFonts w:cs="Arial"/>
          <w:szCs w:val="24"/>
        </w:rPr>
      </w:pPr>
    </w:p>
    <w:p w:rsidR="00D13D37" w:rsidRDefault="00D13D37" w:rsidP="006F09A6">
      <w:pPr>
        <w:rPr>
          <w:rFonts w:cs="Arial"/>
        </w:rPr>
      </w:pPr>
      <w:r>
        <w:rPr>
          <w:rFonts w:cs="Arial"/>
        </w:rPr>
        <w:t>T</w:t>
      </w:r>
      <w:r w:rsidR="006F09A6" w:rsidRPr="00FF5267">
        <w:rPr>
          <w:rFonts w:cs="Arial"/>
        </w:rPr>
        <w:t xml:space="preserve">he Fund takes an active stance on corporate governance issues.  It </w:t>
      </w:r>
      <w:r>
        <w:rPr>
          <w:rFonts w:cs="Arial"/>
        </w:rPr>
        <w:t>uses</w:t>
      </w:r>
      <w:r w:rsidR="006F09A6" w:rsidRPr="00FF5267">
        <w:rPr>
          <w:rFonts w:cs="Arial"/>
        </w:rPr>
        <w:t xml:space="preserve"> Pensions Investment Research Consultants (</w:t>
      </w:r>
      <w:r w:rsidR="008C0F29">
        <w:rPr>
          <w:rFonts w:cs="Arial"/>
        </w:rPr>
        <w:t>“</w:t>
      </w:r>
      <w:r w:rsidR="006F09A6" w:rsidRPr="00FF5267">
        <w:rPr>
          <w:rFonts w:cs="Arial"/>
        </w:rPr>
        <w:t>PIRC</w:t>
      </w:r>
      <w:r w:rsidR="008C0F29">
        <w:rPr>
          <w:rFonts w:cs="Arial"/>
        </w:rPr>
        <w:t>”</w:t>
      </w:r>
      <w:r w:rsidR="006F09A6" w:rsidRPr="00FF5267">
        <w:rPr>
          <w:rFonts w:cs="Arial"/>
        </w:rPr>
        <w:t>)</w:t>
      </w:r>
      <w:r>
        <w:rPr>
          <w:rFonts w:cs="Arial"/>
        </w:rPr>
        <w:t xml:space="preserve"> to vote on its behalf at shareholder meetings</w:t>
      </w:r>
      <w:r w:rsidR="00530DAE">
        <w:rPr>
          <w:rFonts w:cs="Arial"/>
        </w:rPr>
        <w:t>.</w:t>
      </w:r>
      <w:r>
        <w:rPr>
          <w:rFonts w:cs="Arial"/>
        </w:rPr>
        <w:t xml:space="preserve">  PIRC </w:t>
      </w:r>
      <w:r w:rsidR="006F09A6" w:rsidRPr="00FF5267">
        <w:rPr>
          <w:rFonts w:cs="Arial"/>
        </w:rPr>
        <w:t>advises on Socially Responsible Investment issues</w:t>
      </w:r>
      <w:r>
        <w:rPr>
          <w:rFonts w:cs="Arial"/>
        </w:rPr>
        <w:t xml:space="preserve"> and issues voting guidance and commentary for shareholder meetings.  PIRC is instructed to vote the Fund's shares in accordance with its guidelines unless an Investment Manager requests a different vote for investment management reasons.  In the latter case, the Treasurer to the Fund will decide how best to cast the vote in the long-term financial interest of the Fund.</w:t>
      </w:r>
    </w:p>
    <w:p w:rsidR="00D13D37" w:rsidRDefault="00D13D37" w:rsidP="006F09A6">
      <w:pPr>
        <w:rPr>
          <w:rFonts w:cs="Arial"/>
        </w:rPr>
      </w:pPr>
    </w:p>
    <w:p w:rsidR="006F09A6" w:rsidRPr="00FF5267" w:rsidRDefault="00D13D37" w:rsidP="006F09A6">
      <w:r>
        <w:rPr>
          <w:rFonts w:cs="Arial"/>
        </w:rPr>
        <w:t xml:space="preserve">The Fund is </w:t>
      </w:r>
      <w:r w:rsidR="006F09A6" w:rsidRPr="00FF5267">
        <w:rPr>
          <w:rFonts w:cs="Arial"/>
        </w:rPr>
        <w:t>a member of the Local Authority Pension Fund Forum</w:t>
      </w:r>
      <w:r w:rsidR="00530DAE">
        <w:rPr>
          <w:rFonts w:cs="Arial"/>
        </w:rPr>
        <w:t xml:space="preserve"> (</w:t>
      </w:r>
      <w:r w:rsidR="008C0F29">
        <w:rPr>
          <w:rFonts w:cs="Arial"/>
        </w:rPr>
        <w:t>“</w:t>
      </w:r>
      <w:r w:rsidR="00530DAE">
        <w:rPr>
          <w:rFonts w:cs="Arial"/>
        </w:rPr>
        <w:t>LAPFF</w:t>
      </w:r>
      <w:r w:rsidR="008C0F29">
        <w:rPr>
          <w:rFonts w:cs="Arial"/>
        </w:rPr>
        <w:t>”</w:t>
      </w:r>
      <w:r w:rsidR="00530DAE">
        <w:rPr>
          <w:rFonts w:cs="Arial"/>
        </w:rPr>
        <w:t>)</w:t>
      </w:r>
      <w:r w:rsidR="006F09A6" w:rsidRPr="00FF5267">
        <w:rPr>
          <w:rFonts w:cs="Arial"/>
        </w:rPr>
        <w:t xml:space="preserve">, which is a group of like-minded </w:t>
      </w:r>
      <w:r>
        <w:rPr>
          <w:rFonts w:cs="Arial"/>
        </w:rPr>
        <w:t xml:space="preserve">local </w:t>
      </w:r>
      <w:r w:rsidR="006F09A6" w:rsidRPr="00FF5267">
        <w:rPr>
          <w:rFonts w:cs="Arial"/>
        </w:rPr>
        <w:t>authorit</w:t>
      </w:r>
      <w:r>
        <w:rPr>
          <w:rFonts w:cs="Arial"/>
        </w:rPr>
        <w:t>y pension funds</w:t>
      </w:r>
      <w:r w:rsidR="006F09A6" w:rsidRPr="00FF5267">
        <w:rPr>
          <w:rFonts w:cs="Arial"/>
        </w:rPr>
        <w:t xml:space="preserve"> that meet to discuss and act / engage in respect of Socially Responsible Investment and Corporate Governance issues.</w:t>
      </w:r>
    </w:p>
    <w:p w:rsidR="006F09A6" w:rsidRPr="00FF5267" w:rsidRDefault="006F09A6" w:rsidP="006F09A6">
      <w:pPr>
        <w:spacing w:after="20"/>
        <w:jc w:val="both"/>
        <w:rPr>
          <w:rFonts w:cs="Arial"/>
          <w:szCs w:val="24"/>
        </w:rPr>
      </w:pPr>
    </w:p>
    <w:p w:rsidR="006F09A6" w:rsidRPr="008C0F29" w:rsidRDefault="006F09A6" w:rsidP="006F09A6">
      <w:pPr>
        <w:pStyle w:val="Heading4"/>
        <w:rPr>
          <w:rFonts w:cs="Arial"/>
          <w:u w:val="none"/>
        </w:rPr>
      </w:pPr>
      <w:r w:rsidRPr="008C0F29">
        <w:rPr>
          <w:rFonts w:cs="Arial"/>
          <w:u w:val="none"/>
        </w:rPr>
        <w:t>Principles of Investment Practice</w:t>
      </w:r>
    </w:p>
    <w:p w:rsidR="009F6564" w:rsidRDefault="009F6564" w:rsidP="006F09A6">
      <w:pPr>
        <w:rPr>
          <w:rFonts w:cs="Arial"/>
        </w:rPr>
      </w:pPr>
    </w:p>
    <w:p w:rsidR="009F6564" w:rsidRPr="00FF5267" w:rsidRDefault="009F6564" w:rsidP="006F09A6">
      <w:r>
        <w:rPr>
          <w:rFonts w:cs="Arial"/>
        </w:rPr>
        <w:t xml:space="preserve">The Fund's compliance with the six principles of investment practice laid out in </w:t>
      </w:r>
      <w:r w:rsidR="00A64E99">
        <w:rPr>
          <w:rFonts w:cs="Arial"/>
        </w:rPr>
        <w:t>Local Government Pension Scheme (Management and Investment of funds) regulations</w:t>
      </w:r>
      <w:r>
        <w:rPr>
          <w:rFonts w:cs="Arial"/>
        </w:rPr>
        <w:t xml:space="preserve"> </w:t>
      </w:r>
      <w:r w:rsidR="002E7E1D">
        <w:rPr>
          <w:rFonts w:cs="Arial"/>
        </w:rPr>
        <w:t>2009</w:t>
      </w:r>
      <w:r>
        <w:rPr>
          <w:rFonts w:cs="Arial"/>
        </w:rPr>
        <w:t xml:space="preserve"> is described below:</w:t>
      </w:r>
    </w:p>
    <w:p w:rsidR="006F09A6" w:rsidRPr="00FF5267" w:rsidRDefault="006F09A6" w:rsidP="006F09A6">
      <w:pPr>
        <w:jc w:val="both"/>
        <w:rPr>
          <w:rFonts w:cs="Arial"/>
          <w:szCs w:val="24"/>
        </w:rPr>
      </w:pPr>
    </w:p>
    <w:p w:rsidR="006F09A6" w:rsidRDefault="006F09A6" w:rsidP="006F09A6">
      <w:pPr>
        <w:pStyle w:val="Heading4"/>
        <w:rPr>
          <w:rFonts w:cs="Arial"/>
          <w:b w:val="0"/>
        </w:rPr>
      </w:pPr>
      <w:r w:rsidRPr="008C0F29">
        <w:rPr>
          <w:rFonts w:cs="Arial"/>
          <w:b w:val="0"/>
        </w:rPr>
        <w:t>Principle 1: Effective Decision Making</w:t>
      </w:r>
    </w:p>
    <w:p w:rsidR="00E84A8E" w:rsidRPr="00E84A8E" w:rsidRDefault="00E84A8E" w:rsidP="00E84A8E">
      <w:pPr>
        <w:rPr>
          <w:lang w:eastAsia="en-US"/>
        </w:rPr>
      </w:pPr>
    </w:p>
    <w:p w:rsidR="006F09A6" w:rsidRPr="00FF5267" w:rsidRDefault="006F09A6" w:rsidP="006F09A6">
      <w:r w:rsidRPr="00FF5267">
        <w:rPr>
          <w:rFonts w:cs="Arial"/>
        </w:rPr>
        <w:t>Fully compliant: The decision making process is fully outlined in the Governance Policy Statement, Governance Compliance Statement and Statement of Investment</w:t>
      </w:r>
      <w:r w:rsidRPr="00FF5267">
        <w:rPr>
          <w:rFonts w:cs="Arial"/>
          <w:color w:val="0000FF"/>
        </w:rPr>
        <w:t xml:space="preserve"> </w:t>
      </w:r>
      <w:r w:rsidRPr="00FF5267">
        <w:rPr>
          <w:rFonts w:cs="Arial"/>
        </w:rPr>
        <w:t>Principles.  A Pension Fund Business Plan is approved by the Pension Fund Committee on an annual basis.</w:t>
      </w:r>
    </w:p>
    <w:p w:rsidR="006F09A6" w:rsidRPr="00FF5267" w:rsidRDefault="006F09A6" w:rsidP="006F09A6">
      <w:pPr>
        <w:rPr>
          <w:rFonts w:cs="Arial"/>
          <w:sz w:val="28"/>
        </w:rPr>
      </w:pPr>
    </w:p>
    <w:p w:rsidR="006F09A6" w:rsidRDefault="006F09A6" w:rsidP="006F09A6">
      <w:pPr>
        <w:pStyle w:val="Heading4"/>
        <w:jc w:val="both"/>
        <w:rPr>
          <w:rFonts w:cs="Arial"/>
          <w:b w:val="0"/>
        </w:rPr>
      </w:pPr>
      <w:r w:rsidRPr="008C0F29">
        <w:rPr>
          <w:rFonts w:cs="Arial"/>
          <w:b w:val="0"/>
        </w:rPr>
        <w:t>Principle 2: Clear Objectives</w:t>
      </w:r>
    </w:p>
    <w:p w:rsidR="00E84A8E" w:rsidRPr="00E84A8E" w:rsidRDefault="00E84A8E" w:rsidP="00E84A8E">
      <w:pPr>
        <w:rPr>
          <w:lang w:eastAsia="en-US"/>
        </w:rPr>
      </w:pPr>
    </w:p>
    <w:p w:rsidR="006F09A6" w:rsidRPr="00FF5267" w:rsidRDefault="006F09A6" w:rsidP="006F09A6">
      <w:r w:rsidRPr="00FF5267">
        <w:rPr>
          <w:rFonts w:cs="Arial"/>
        </w:rPr>
        <w:t xml:space="preserve">Fully compliant: The overall objective for the Fund is outlined in the Statement of Investment Principles.  </w:t>
      </w:r>
      <w:r w:rsidR="009F6564">
        <w:rPr>
          <w:rFonts w:cs="Arial"/>
        </w:rPr>
        <w:t xml:space="preserve">The Investment Panel sets benchmarks for measuring the performance of each investment and an overall benchmark for the Fund as a whole in order to monitor the attainment of the objectives. </w:t>
      </w:r>
    </w:p>
    <w:p w:rsidR="006F09A6" w:rsidRPr="008C0F29" w:rsidRDefault="006F09A6" w:rsidP="006F09A6">
      <w:pPr>
        <w:rPr>
          <w:rFonts w:cs="Arial"/>
          <w:sz w:val="28"/>
          <w:u w:val="single"/>
        </w:rPr>
      </w:pPr>
    </w:p>
    <w:p w:rsidR="006F09A6" w:rsidRDefault="006F09A6" w:rsidP="006F09A6">
      <w:pPr>
        <w:pStyle w:val="Heading4"/>
        <w:jc w:val="both"/>
        <w:rPr>
          <w:rFonts w:cs="Arial"/>
          <w:b w:val="0"/>
        </w:rPr>
      </w:pPr>
      <w:r w:rsidRPr="008C0F29">
        <w:rPr>
          <w:rFonts w:cs="Arial"/>
          <w:b w:val="0"/>
        </w:rPr>
        <w:t>Principle 3: Risk and liabilities</w:t>
      </w:r>
    </w:p>
    <w:p w:rsidR="00E84A8E" w:rsidRPr="00E84A8E" w:rsidRDefault="00E84A8E" w:rsidP="00E84A8E">
      <w:pPr>
        <w:rPr>
          <w:lang w:eastAsia="en-US"/>
        </w:rPr>
      </w:pPr>
    </w:p>
    <w:p w:rsidR="006F09A6" w:rsidRDefault="006F09A6" w:rsidP="006F09A6">
      <w:pPr>
        <w:rPr>
          <w:rFonts w:cs="Arial"/>
        </w:rPr>
      </w:pPr>
      <w:r w:rsidRPr="00FF5267">
        <w:rPr>
          <w:rFonts w:cs="Arial"/>
        </w:rPr>
        <w:t>Fully compliant: The Investment Panel and Pension Fund Committee have considered the appropriate assets for the Fund following Asset/Liability studies</w:t>
      </w:r>
      <w:r w:rsidR="009F6564">
        <w:rPr>
          <w:rFonts w:cs="Arial"/>
        </w:rPr>
        <w:t xml:space="preserve"> and decided upon an investment strategy involving a diversification of investments amongst equities, property and investments offering the prospect of acceptable returns with lower volatility. </w:t>
      </w:r>
    </w:p>
    <w:p w:rsidR="005A7020" w:rsidRPr="00FF5267" w:rsidRDefault="005A7020" w:rsidP="006F09A6">
      <w:pPr>
        <w:rPr>
          <w:rFonts w:cs="Arial"/>
          <w:sz w:val="28"/>
        </w:rPr>
      </w:pPr>
    </w:p>
    <w:p w:rsidR="006F09A6" w:rsidRDefault="006F09A6" w:rsidP="006F09A6">
      <w:pPr>
        <w:pStyle w:val="Heading4"/>
        <w:jc w:val="both"/>
        <w:rPr>
          <w:rFonts w:cs="Arial"/>
          <w:b w:val="0"/>
        </w:rPr>
      </w:pPr>
      <w:r w:rsidRPr="008C0F29">
        <w:rPr>
          <w:rFonts w:cs="Arial"/>
          <w:b w:val="0"/>
        </w:rPr>
        <w:t>Principle 4: Performance assessment</w:t>
      </w:r>
    </w:p>
    <w:p w:rsidR="00E84A8E" w:rsidRPr="00E84A8E" w:rsidRDefault="00E84A8E" w:rsidP="00E84A8E">
      <w:pPr>
        <w:rPr>
          <w:lang w:eastAsia="en-US"/>
        </w:rPr>
      </w:pPr>
    </w:p>
    <w:p w:rsidR="006F09A6" w:rsidRPr="00FF5267" w:rsidRDefault="006F09A6" w:rsidP="006F09A6">
      <w:r w:rsidRPr="00FF5267">
        <w:rPr>
          <w:rFonts w:cs="Arial"/>
        </w:rPr>
        <w:t>Fully compliant</w:t>
      </w:r>
      <w:r w:rsidR="007B5F13">
        <w:rPr>
          <w:rFonts w:cs="Arial"/>
        </w:rPr>
        <w:t xml:space="preserve"> </w:t>
      </w:r>
      <w:r w:rsidR="009F6564">
        <w:rPr>
          <w:rFonts w:cs="Arial"/>
        </w:rPr>
        <w:t>Investment performance reports are produced by the Custodian monthly and by WM Company quarterly for consideration by the Investment Panel and the Pension Fund Committee.</w:t>
      </w:r>
    </w:p>
    <w:p w:rsidR="006F09A6" w:rsidRPr="00FF5267" w:rsidRDefault="006F09A6" w:rsidP="006F09A6">
      <w:pPr>
        <w:rPr>
          <w:rFonts w:cs="Arial"/>
          <w:sz w:val="28"/>
        </w:rPr>
      </w:pPr>
    </w:p>
    <w:p w:rsidR="006F09A6" w:rsidRDefault="006F09A6" w:rsidP="006F09A6">
      <w:pPr>
        <w:pStyle w:val="Heading4"/>
        <w:jc w:val="both"/>
        <w:rPr>
          <w:rFonts w:cs="Arial"/>
          <w:b w:val="0"/>
        </w:rPr>
      </w:pPr>
      <w:r w:rsidRPr="008C0F29">
        <w:rPr>
          <w:rFonts w:cs="Arial"/>
          <w:b w:val="0"/>
        </w:rPr>
        <w:t>Principle 5: Responsible ownership</w:t>
      </w:r>
    </w:p>
    <w:p w:rsidR="00E84A8E" w:rsidRPr="00E84A8E" w:rsidRDefault="00E84A8E" w:rsidP="00E84A8E">
      <w:pPr>
        <w:rPr>
          <w:lang w:eastAsia="en-US"/>
        </w:rPr>
      </w:pPr>
    </w:p>
    <w:p w:rsidR="00494B11" w:rsidRDefault="006D211F" w:rsidP="00843A78">
      <w:r>
        <w:rPr>
          <w:rFonts w:cs="Arial"/>
        </w:rPr>
        <w:t>Fully</w:t>
      </w:r>
      <w:r w:rsidR="006F09A6" w:rsidRPr="00843A78">
        <w:rPr>
          <w:rFonts w:cs="Arial"/>
        </w:rPr>
        <w:t xml:space="preserve"> compliant: </w:t>
      </w:r>
      <w:r w:rsidR="009F6564" w:rsidRPr="00843A78">
        <w:rPr>
          <w:rFonts w:cs="Arial"/>
        </w:rPr>
        <w:t xml:space="preserve">PIRC has been appointed the Fund's proxy to vote the Fund's shares at shareholder meetings.  PIRC votes in accordance with its </w:t>
      </w:r>
      <w:r w:rsidR="00334A10" w:rsidRPr="00843A78">
        <w:rPr>
          <w:rFonts w:cs="Arial"/>
        </w:rPr>
        <w:t xml:space="preserve">voting guidelines unless an Investment Manager requests differently, in which case the Treasurer to the Fund would decide how the vote should be cast in the best interests of the Fund.  The Fund is a member of the Local Authority Pension Fund Forum, which is primarily concerned with Corporate Governance issues and shareholder activism.  Voting action is monitored on a quarterly basis.  </w:t>
      </w:r>
    </w:p>
    <w:p w:rsidR="006F09A6" w:rsidRPr="00FF5267" w:rsidRDefault="006F09A6" w:rsidP="006F09A6">
      <w:pPr>
        <w:rPr>
          <w:rFonts w:cs="Arial"/>
          <w:sz w:val="28"/>
        </w:rPr>
      </w:pPr>
    </w:p>
    <w:p w:rsidR="006F09A6" w:rsidRPr="008C0F29" w:rsidRDefault="006F09A6" w:rsidP="006F09A6">
      <w:pPr>
        <w:pStyle w:val="Heading4"/>
        <w:jc w:val="both"/>
        <w:rPr>
          <w:rFonts w:cs="Arial"/>
          <w:b w:val="0"/>
        </w:rPr>
      </w:pPr>
      <w:r w:rsidRPr="008C0F29">
        <w:rPr>
          <w:rFonts w:cs="Arial"/>
          <w:b w:val="0"/>
        </w:rPr>
        <w:t>Principle 6: Transparency and reporting</w:t>
      </w:r>
    </w:p>
    <w:p w:rsidR="00E84A8E" w:rsidRDefault="00E84A8E" w:rsidP="006F09A6">
      <w:pPr>
        <w:rPr>
          <w:rFonts w:cs="Arial"/>
        </w:rPr>
      </w:pPr>
    </w:p>
    <w:p w:rsidR="006F09A6" w:rsidRDefault="006F09A6" w:rsidP="006F09A6">
      <w:pPr>
        <w:rPr>
          <w:rFonts w:cs="Arial"/>
        </w:rPr>
      </w:pPr>
      <w:r w:rsidRPr="00FF5267">
        <w:rPr>
          <w:rFonts w:cs="Arial"/>
        </w:rPr>
        <w:t xml:space="preserve">Fully compliant: The Statement of Investment Principles outlines who is responsible for strategic and asset allocation decisions for the Fund and the reasons behind this Structure.  It contains the current investment objective and details of the operational aspects of the Fund’s investments.  </w:t>
      </w:r>
    </w:p>
    <w:p w:rsidR="00E84A8E" w:rsidRPr="00FF5267" w:rsidRDefault="00E84A8E" w:rsidP="006F09A6"/>
    <w:p w:rsidR="000E1D45" w:rsidRDefault="009F6564">
      <w:pPr>
        <w:rPr>
          <w:rFonts w:cs="Arial"/>
          <w:szCs w:val="24"/>
        </w:rPr>
      </w:pPr>
      <w:r>
        <w:rPr>
          <w:rFonts w:cs="Arial"/>
        </w:rPr>
        <w:t xml:space="preserve">The Fund </w:t>
      </w:r>
      <w:r w:rsidR="006F09A6" w:rsidRPr="00FF5267">
        <w:rPr>
          <w:rFonts w:cs="Arial"/>
        </w:rPr>
        <w:t>provides all of its Members with regular information bulletins.</w:t>
      </w:r>
      <w:r>
        <w:rPr>
          <w:rFonts w:cs="Arial"/>
        </w:rPr>
        <w:t xml:space="preserve">  The Annual Report and the Fund's statutory statements are made available to all the Fund's employers and members through the web site www.yourpensionsservice.org.uk. </w:t>
      </w:r>
    </w:p>
    <w:p w:rsidR="006F09A6" w:rsidRPr="00F332F8" w:rsidRDefault="006F09A6" w:rsidP="006F09A6">
      <w:pPr>
        <w:rPr>
          <w:rFonts w:cs="Arial"/>
          <w:sz w:val="28"/>
          <w:highlight w:val="yellow"/>
        </w:rPr>
      </w:pPr>
    </w:p>
    <w:sectPr w:rsidR="006F09A6" w:rsidRPr="00F332F8" w:rsidSect="00A63B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6D8F4A"/>
    <w:multiLevelType w:val="hybridMultilevel"/>
    <w:tmpl w:val="D599EE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AF2E7D"/>
    <w:multiLevelType w:val="hybridMultilevel"/>
    <w:tmpl w:val="6A5E16A4"/>
    <w:lvl w:ilvl="0" w:tplc="08090019">
      <w:start w:val="1"/>
      <w:numFmt w:val="lowerLetter"/>
      <w:lvlText w:val="%1."/>
      <w:lvlJc w:val="left"/>
      <w:pPr>
        <w:ind w:left="360" w:hanging="360"/>
      </w:pPr>
    </w:lvl>
    <w:lvl w:ilvl="1" w:tplc="08090019">
      <w:start w:val="1"/>
      <w:numFmt w:val="decimal"/>
      <w:lvlText w:val="%2."/>
      <w:lvlJc w:val="left"/>
      <w:pPr>
        <w:tabs>
          <w:tab w:val="num" w:pos="1364"/>
        </w:tabs>
        <w:ind w:left="1364" w:hanging="360"/>
      </w:pPr>
    </w:lvl>
    <w:lvl w:ilvl="2" w:tplc="0809001B">
      <w:start w:val="1"/>
      <w:numFmt w:val="decimal"/>
      <w:lvlText w:val="%3."/>
      <w:lvlJc w:val="left"/>
      <w:pPr>
        <w:tabs>
          <w:tab w:val="num" w:pos="2084"/>
        </w:tabs>
        <w:ind w:left="2084" w:hanging="360"/>
      </w:pPr>
    </w:lvl>
    <w:lvl w:ilvl="3" w:tplc="0809000F">
      <w:start w:val="1"/>
      <w:numFmt w:val="decimal"/>
      <w:lvlText w:val="%4."/>
      <w:lvlJc w:val="left"/>
      <w:pPr>
        <w:tabs>
          <w:tab w:val="num" w:pos="2804"/>
        </w:tabs>
        <w:ind w:left="2804" w:hanging="360"/>
      </w:pPr>
    </w:lvl>
    <w:lvl w:ilvl="4" w:tplc="08090019">
      <w:start w:val="1"/>
      <w:numFmt w:val="decimal"/>
      <w:lvlText w:val="%5."/>
      <w:lvlJc w:val="left"/>
      <w:pPr>
        <w:tabs>
          <w:tab w:val="num" w:pos="3524"/>
        </w:tabs>
        <w:ind w:left="3524" w:hanging="360"/>
      </w:pPr>
    </w:lvl>
    <w:lvl w:ilvl="5" w:tplc="0809001B">
      <w:start w:val="1"/>
      <w:numFmt w:val="decimal"/>
      <w:lvlText w:val="%6."/>
      <w:lvlJc w:val="left"/>
      <w:pPr>
        <w:tabs>
          <w:tab w:val="num" w:pos="4244"/>
        </w:tabs>
        <w:ind w:left="4244" w:hanging="360"/>
      </w:pPr>
    </w:lvl>
    <w:lvl w:ilvl="6" w:tplc="0809000F">
      <w:start w:val="1"/>
      <w:numFmt w:val="decimal"/>
      <w:lvlText w:val="%7."/>
      <w:lvlJc w:val="left"/>
      <w:pPr>
        <w:tabs>
          <w:tab w:val="num" w:pos="4964"/>
        </w:tabs>
        <w:ind w:left="4964" w:hanging="360"/>
      </w:pPr>
    </w:lvl>
    <w:lvl w:ilvl="7" w:tplc="08090019">
      <w:start w:val="1"/>
      <w:numFmt w:val="decimal"/>
      <w:lvlText w:val="%8."/>
      <w:lvlJc w:val="left"/>
      <w:pPr>
        <w:tabs>
          <w:tab w:val="num" w:pos="5684"/>
        </w:tabs>
        <w:ind w:left="5684" w:hanging="360"/>
      </w:pPr>
    </w:lvl>
    <w:lvl w:ilvl="8" w:tplc="0809001B">
      <w:start w:val="1"/>
      <w:numFmt w:val="decimal"/>
      <w:lvlText w:val="%9."/>
      <w:lvlJc w:val="left"/>
      <w:pPr>
        <w:tabs>
          <w:tab w:val="num" w:pos="6404"/>
        </w:tabs>
        <w:ind w:left="6404" w:hanging="360"/>
      </w:pPr>
    </w:lvl>
  </w:abstractNum>
  <w:abstractNum w:abstractNumId="2">
    <w:nsid w:val="16CB2F20"/>
    <w:multiLevelType w:val="hybridMultilevel"/>
    <w:tmpl w:val="206EA744"/>
    <w:lvl w:ilvl="0" w:tplc="08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174F6F21"/>
    <w:multiLevelType w:val="multilevel"/>
    <w:tmpl w:val="EC42485A"/>
    <w:lvl w:ilvl="0">
      <w:start w:val="1"/>
      <w:numFmt w:val="decimal"/>
      <w:pStyle w:val="Bullet4"/>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693E77"/>
    <w:multiLevelType w:val="hybridMultilevel"/>
    <w:tmpl w:val="473C18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1367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F551652"/>
    <w:multiLevelType w:val="hybridMultilevel"/>
    <w:tmpl w:val="F39A0F1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30F0239C"/>
    <w:multiLevelType w:val="hybridMultilevel"/>
    <w:tmpl w:val="800CCC3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546747E"/>
    <w:multiLevelType w:val="singleLevel"/>
    <w:tmpl w:val="FFF2907A"/>
    <w:lvl w:ilvl="0">
      <w:start w:val="1"/>
      <w:numFmt w:val="bullet"/>
      <w:lvlText w:val=""/>
      <w:lvlJc w:val="left"/>
      <w:pPr>
        <w:tabs>
          <w:tab w:val="num" w:pos="360"/>
        </w:tabs>
        <w:ind w:left="360" w:hanging="360"/>
      </w:pPr>
      <w:rPr>
        <w:rFonts w:ascii="Symbol" w:hAnsi="Symbol" w:hint="default"/>
      </w:rPr>
    </w:lvl>
  </w:abstractNum>
  <w:abstractNum w:abstractNumId="9">
    <w:nsid w:val="4FD32116"/>
    <w:multiLevelType w:val="singleLevel"/>
    <w:tmpl w:val="FFF2907A"/>
    <w:lvl w:ilvl="0">
      <w:start w:val="1"/>
      <w:numFmt w:val="bullet"/>
      <w:lvlText w:val=""/>
      <w:lvlJc w:val="left"/>
      <w:pPr>
        <w:tabs>
          <w:tab w:val="num" w:pos="360"/>
        </w:tabs>
        <w:ind w:left="360" w:hanging="360"/>
      </w:pPr>
      <w:rPr>
        <w:rFonts w:ascii="Symbol" w:hAnsi="Symbol" w:hint="default"/>
      </w:rPr>
    </w:lvl>
  </w:abstractNum>
  <w:abstractNum w:abstractNumId="10">
    <w:nsid w:val="529E503D"/>
    <w:multiLevelType w:val="hybridMultilevel"/>
    <w:tmpl w:val="0AFCB88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nsid w:val="585D40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98E742D"/>
    <w:multiLevelType w:val="hybridMultilevel"/>
    <w:tmpl w:val="4808CC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C77DA0"/>
    <w:multiLevelType w:val="singleLevel"/>
    <w:tmpl w:val="FFF2907A"/>
    <w:lvl w:ilvl="0">
      <w:start w:val="1"/>
      <w:numFmt w:val="bullet"/>
      <w:lvlText w:val=""/>
      <w:lvlJc w:val="left"/>
      <w:pPr>
        <w:tabs>
          <w:tab w:val="num" w:pos="360"/>
        </w:tabs>
        <w:ind w:left="360" w:hanging="360"/>
      </w:pPr>
      <w:rPr>
        <w:rFonts w:ascii="Symbol" w:hAnsi="Symbol" w:hint="default"/>
      </w:rPr>
    </w:lvl>
  </w:abstractNum>
  <w:abstractNum w:abstractNumId="14">
    <w:nsid w:val="66075A2B"/>
    <w:multiLevelType w:val="singleLevel"/>
    <w:tmpl w:val="FFF2907A"/>
    <w:lvl w:ilvl="0">
      <w:start w:val="1"/>
      <w:numFmt w:val="bullet"/>
      <w:lvlText w:val=""/>
      <w:lvlJc w:val="left"/>
      <w:pPr>
        <w:tabs>
          <w:tab w:val="num" w:pos="360"/>
        </w:tabs>
        <w:ind w:left="360" w:hanging="360"/>
      </w:pPr>
      <w:rPr>
        <w:rFonts w:ascii="Symbol" w:hAnsi="Symbol" w:hint="default"/>
      </w:rPr>
    </w:lvl>
  </w:abstractNum>
  <w:abstractNum w:abstractNumId="15">
    <w:nsid w:val="70BA5874"/>
    <w:multiLevelType w:val="singleLevel"/>
    <w:tmpl w:val="FFF2907A"/>
    <w:lvl w:ilvl="0">
      <w:start w:val="1"/>
      <w:numFmt w:val="bullet"/>
      <w:lvlText w:val=""/>
      <w:lvlJc w:val="left"/>
      <w:pPr>
        <w:tabs>
          <w:tab w:val="num" w:pos="360"/>
        </w:tabs>
        <w:ind w:left="360" w:hanging="360"/>
      </w:pPr>
      <w:rPr>
        <w:rFonts w:ascii="Symbol" w:hAnsi="Symbol" w:hint="default"/>
      </w:rPr>
    </w:lvl>
  </w:abstractNum>
  <w:abstractNum w:abstractNumId="16">
    <w:nsid w:val="7F7B6D5D"/>
    <w:multiLevelType w:val="singleLevel"/>
    <w:tmpl w:val="C6F41AE2"/>
    <w:lvl w:ilvl="0">
      <w:start w:val="1"/>
      <w:numFmt w:val="decimal"/>
      <w:lvlText w:val="%1."/>
      <w:lvlJc w:val="left"/>
      <w:pPr>
        <w:tabs>
          <w:tab w:val="num" w:pos="360"/>
        </w:tabs>
        <w:ind w:left="360" w:hanging="360"/>
      </w:pPr>
      <w:rPr>
        <w:rFonts w:ascii="Arial" w:hAnsi="Arial" w:cs="Times New Roman" w:hint="default"/>
        <w:b/>
        <w:i w:val="0"/>
        <w:sz w:val="20"/>
      </w:rPr>
    </w:lvl>
  </w:abstractNum>
  <w:num w:numId="1">
    <w:abstractNumId w:val="3"/>
  </w:num>
  <w:num w:numId="2">
    <w:abstractNumId w:val="1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num>
  <w:num w:numId="9">
    <w:abstractNumId w:val="14"/>
  </w:num>
  <w:num w:numId="10">
    <w:abstractNumId w:val="8"/>
  </w:num>
  <w:num w:numId="11">
    <w:abstractNumId w:val="9"/>
  </w:num>
  <w:num w:numId="12">
    <w:abstractNumId w:val="15"/>
  </w:num>
  <w:num w:numId="13">
    <w:abstractNumId w:val="1"/>
  </w:num>
  <w:num w:numId="14">
    <w:abstractNumId w:val="10"/>
  </w:num>
  <w:num w:numId="15">
    <w:abstractNumId w:val="0"/>
  </w:num>
  <w:num w:numId="16">
    <w:abstractNumId w:val="7"/>
  </w:num>
  <w:num w:numId="17">
    <w:abstractNumId w:val="1"/>
    <w:lvlOverride w:ilvl="0">
      <w:lvl w:ilvl="0" w:tplc="08090019">
        <w:start w:val="1"/>
        <w:numFmt w:val="lowerLetter"/>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8">
    <w:abstractNumId w:val="1"/>
    <w:lvlOverride w:ilvl="0">
      <w:lvl w:ilvl="0" w:tplc="08090019">
        <w:start w:val="1"/>
        <w:numFmt w:val="lowerLetter"/>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9">
    <w:abstractNumId w:val="12"/>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09A6"/>
    <w:rsid w:val="000064C6"/>
    <w:rsid w:val="00011C85"/>
    <w:rsid w:val="000131E0"/>
    <w:rsid w:val="00026D46"/>
    <w:rsid w:val="00075B45"/>
    <w:rsid w:val="00077C4F"/>
    <w:rsid w:val="000A35E0"/>
    <w:rsid w:val="000E1D45"/>
    <w:rsid w:val="00104691"/>
    <w:rsid w:val="00105740"/>
    <w:rsid w:val="00107AF7"/>
    <w:rsid w:val="00107D4D"/>
    <w:rsid w:val="00166016"/>
    <w:rsid w:val="001A115E"/>
    <w:rsid w:val="001A1FB5"/>
    <w:rsid w:val="001A2B70"/>
    <w:rsid w:val="002608DA"/>
    <w:rsid w:val="00283904"/>
    <w:rsid w:val="002B5007"/>
    <w:rsid w:val="002C737B"/>
    <w:rsid w:val="002D4B73"/>
    <w:rsid w:val="002E7E1D"/>
    <w:rsid w:val="003221EC"/>
    <w:rsid w:val="00334A10"/>
    <w:rsid w:val="00346060"/>
    <w:rsid w:val="0036449E"/>
    <w:rsid w:val="00376DC6"/>
    <w:rsid w:val="0038046F"/>
    <w:rsid w:val="003B0E8A"/>
    <w:rsid w:val="003D37DD"/>
    <w:rsid w:val="003E3877"/>
    <w:rsid w:val="00454EFB"/>
    <w:rsid w:val="004725DA"/>
    <w:rsid w:val="00486BDE"/>
    <w:rsid w:val="00494B11"/>
    <w:rsid w:val="004C16FA"/>
    <w:rsid w:val="004C7289"/>
    <w:rsid w:val="004E6234"/>
    <w:rsid w:val="00530DAE"/>
    <w:rsid w:val="00562908"/>
    <w:rsid w:val="00565247"/>
    <w:rsid w:val="005A7020"/>
    <w:rsid w:val="005C75FF"/>
    <w:rsid w:val="00601FA6"/>
    <w:rsid w:val="00604E87"/>
    <w:rsid w:val="00622656"/>
    <w:rsid w:val="00626F86"/>
    <w:rsid w:val="00677B94"/>
    <w:rsid w:val="006A70CC"/>
    <w:rsid w:val="006D211F"/>
    <w:rsid w:val="006D2713"/>
    <w:rsid w:val="006F09A6"/>
    <w:rsid w:val="007856BA"/>
    <w:rsid w:val="007933B3"/>
    <w:rsid w:val="00796741"/>
    <w:rsid w:val="007B4D86"/>
    <w:rsid w:val="007B5F13"/>
    <w:rsid w:val="00834CB3"/>
    <w:rsid w:val="00843A78"/>
    <w:rsid w:val="00872322"/>
    <w:rsid w:val="008829BB"/>
    <w:rsid w:val="008921A0"/>
    <w:rsid w:val="00896432"/>
    <w:rsid w:val="008C0F29"/>
    <w:rsid w:val="008D5F96"/>
    <w:rsid w:val="009150B3"/>
    <w:rsid w:val="009328AE"/>
    <w:rsid w:val="00954956"/>
    <w:rsid w:val="009954B6"/>
    <w:rsid w:val="009B0CB3"/>
    <w:rsid w:val="009B102F"/>
    <w:rsid w:val="009F0C0C"/>
    <w:rsid w:val="009F6564"/>
    <w:rsid w:val="00A17222"/>
    <w:rsid w:val="00A35C92"/>
    <w:rsid w:val="00A63B8D"/>
    <w:rsid w:val="00A64E99"/>
    <w:rsid w:val="00A86B4C"/>
    <w:rsid w:val="00AB3F1E"/>
    <w:rsid w:val="00B45DAE"/>
    <w:rsid w:val="00B53B26"/>
    <w:rsid w:val="00B571DF"/>
    <w:rsid w:val="00B909E5"/>
    <w:rsid w:val="00BC0571"/>
    <w:rsid w:val="00C05131"/>
    <w:rsid w:val="00C441DE"/>
    <w:rsid w:val="00C741FD"/>
    <w:rsid w:val="00CA355A"/>
    <w:rsid w:val="00D0741A"/>
    <w:rsid w:val="00D13D37"/>
    <w:rsid w:val="00D2034B"/>
    <w:rsid w:val="00D27F9E"/>
    <w:rsid w:val="00D401D5"/>
    <w:rsid w:val="00DE3E94"/>
    <w:rsid w:val="00DE58F4"/>
    <w:rsid w:val="00DF290D"/>
    <w:rsid w:val="00E84A8E"/>
    <w:rsid w:val="00EB398E"/>
    <w:rsid w:val="00EE1D7B"/>
    <w:rsid w:val="00F0423B"/>
    <w:rsid w:val="00F5789C"/>
    <w:rsid w:val="00F624AB"/>
    <w:rsid w:val="00F95934"/>
    <w:rsid w:val="00FA5636"/>
    <w:rsid w:val="00FA707B"/>
    <w:rsid w:val="00FD0614"/>
    <w:rsid w:val="00FF3422"/>
    <w:rsid w:val="00FF5648"/>
    <w:rsid w:val="00FF6D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9A6"/>
    <w:pPr>
      <w:spacing w:after="0" w:line="240" w:lineRule="auto"/>
    </w:pPr>
    <w:rPr>
      <w:rFonts w:ascii="Arial" w:eastAsia="Times New Roman" w:hAnsi="Arial" w:cs="Times New Roman"/>
      <w:sz w:val="24"/>
      <w:szCs w:val="20"/>
      <w:lang w:eastAsia="en-GB"/>
    </w:rPr>
  </w:style>
  <w:style w:type="paragraph" w:styleId="Heading3">
    <w:name w:val="heading 3"/>
    <w:basedOn w:val="Normal"/>
    <w:next w:val="Normal"/>
    <w:link w:val="Heading3Char"/>
    <w:qFormat/>
    <w:rsid w:val="006F09A6"/>
    <w:pPr>
      <w:keepNext/>
      <w:outlineLvl w:val="2"/>
    </w:pPr>
    <w:rPr>
      <w:b/>
      <w:i/>
      <w:snapToGrid w:val="0"/>
      <w:sz w:val="28"/>
      <w:u w:val="single"/>
      <w:lang w:eastAsia="en-US"/>
    </w:rPr>
  </w:style>
  <w:style w:type="paragraph" w:styleId="Heading4">
    <w:name w:val="heading 4"/>
    <w:basedOn w:val="Normal"/>
    <w:next w:val="Normal"/>
    <w:link w:val="Heading4Char"/>
    <w:qFormat/>
    <w:rsid w:val="006F09A6"/>
    <w:pPr>
      <w:keepNext/>
      <w:outlineLvl w:val="3"/>
    </w:pPr>
    <w:rPr>
      <w:b/>
      <w:snapToGrid w:val="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F09A6"/>
    <w:rPr>
      <w:rFonts w:ascii="Arial" w:eastAsia="Times New Roman" w:hAnsi="Arial" w:cs="Times New Roman"/>
      <w:b/>
      <w:i/>
      <w:snapToGrid w:val="0"/>
      <w:sz w:val="28"/>
      <w:szCs w:val="20"/>
      <w:u w:val="single"/>
    </w:rPr>
  </w:style>
  <w:style w:type="character" w:customStyle="1" w:styleId="Heading4Char">
    <w:name w:val="Heading 4 Char"/>
    <w:basedOn w:val="DefaultParagraphFont"/>
    <w:link w:val="Heading4"/>
    <w:rsid w:val="006F09A6"/>
    <w:rPr>
      <w:rFonts w:ascii="Arial" w:eastAsia="Times New Roman" w:hAnsi="Arial" w:cs="Times New Roman"/>
      <w:b/>
      <w:snapToGrid w:val="0"/>
      <w:sz w:val="24"/>
      <w:szCs w:val="20"/>
      <w:u w:val="single"/>
    </w:rPr>
  </w:style>
  <w:style w:type="paragraph" w:styleId="Header">
    <w:name w:val="header"/>
    <w:basedOn w:val="Normal"/>
    <w:link w:val="HeaderChar"/>
    <w:rsid w:val="006F09A6"/>
  </w:style>
  <w:style w:type="character" w:customStyle="1" w:styleId="HeaderChar">
    <w:name w:val="Header Char"/>
    <w:basedOn w:val="DefaultParagraphFont"/>
    <w:link w:val="Header"/>
    <w:rsid w:val="006F09A6"/>
    <w:rPr>
      <w:rFonts w:ascii="Arial" w:eastAsia="Times New Roman" w:hAnsi="Arial" w:cs="Times New Roman"/>
      <w:sz w:val="24"/>
      <w:szCs w:val="20"/>
      <w:lang w:eastAsia="en-GB"/>
    </w:rPr>
  </w:style>
  <w:style w:type="paragraph" w:styleId="BodyTextIndent3">
    <w:name w:val="Body Text Indent 3"/>
    <w:basedOn w:val="Normal"/>
    <w:link w:val="BodyTextIndent3Char"/>
    <w:rsid w:val="006F09A6"/>
    <w:pPr>
      <w:tabs>
        <w:tab w:val="left" w:pos="360"/>
      </w:tabs>
      <w:ind w:left="360"/>
    </w:pPr>
  </w:style>
  <w:style w:type="character" w:customStyle="1" w:styleId="BodyTextIndent3Char">
    <w:name w:val="Body Text Indent 3 Char"/>
    <w:basedOn w:val="DefaultParagraphFont"/>
    <w:link w:val="BodyTextIndent3"/>
    <w:rsid w:val="006F09A6"/>
    <w:rPr>
      <w:rFonts w:ascii="Arial" w:eastAsia="Times New Roman" w:hAnsi="Arial" w:cs="Times New Roman"/>
      <w:sz w:val="24"/>
      <w:szCs w:val="20"/>
      <w:lang w:eastAsia="en-GB"/>
    </w:rPr>
  </w:style>
  <w:style w:type="character" w:styleId="Hyperlink">
    <w:name w:val="Hyperlink"/>
    <w:basedOn w:val="DefaultParagraphFont"/>
    <w:uiPriority w:val="99"/>
    <w:rsid w:val="006F09A6"/>
    <w:rPr>
      <w:color w:val="0000FF"/>
      <w:u w:val="single"/>
    </w:rPr>
  </w:style>
  <w:style w:type="paragraph" w:styleId="BodyText">
    <w:name w:val="Body Text"/>
    <w:basedOn w:val="Normal"/>
    <w:link w:val="BodyTextChar"/>
    <w:uiPriority w:val="99"/>
    <w:rsid w:val="006F09A6"/>
    <w:rPr>
      <w:b/>
    </w:rPr>
  </w:style>
  <w:style w:type="character" w:customStyle="1" w:styleId="BodyTextChar">
    <w:name w:val="Body Text Char"/>
    <w:basedOn w:val="DefaultParagraphFont"/>
    <w:link w:val="BodyText"/>
    <w:uiPriority w:val="99"/>
    <w:rsid w:val="006F09A6"/>
    <w:rPr>
      <w:rFonts w:ascii="Arial" w:eastAsia="Times New Roman" w:hAnsi="Arial" w:cs="Times New Roman"/>
      <w:b/>
      <w:sz w:val="24"/>
      <w:szCs w:val="20"/>
      <w:lang w:eastAsia="en-GB"/>
    </w:rPr>
  </w:style>
  <w:style w:type="paragraph" w:customStyle="1" w:styleId="Bullet4">
    <w:name w:val="Bullet 4"/>
    <w:basedOn w:val="Normal"/>
    <w:uiPriority w:val="99"/>
    <w:rsid w:val="006F09A6"/>
    <w:pPr>
      <w:numPr>
        <w:numId w:val="1"/>
      </w:numPr>
      <w:spacing w:after="240"/>
    </w:pPr>
    <w:rPr>
      <w:rFonts w:ascii="Times New Roman" w:hAnsi="Times New Roman"/>
    </w:rPr>
  </w:style>
  <w:style w:type="paragraph" w:styleId="ListParagraph">
    <w:name w:val="List Paragraph"/>
    <w:basedOn w:val="Normal"/>
    <w:uiPriority w:val="34"/>
    <w:qFormat/>
    <w:rsid w:val="006F09A6"/>
    <w:pPr>
      <w:ind w:left="720"/>
      <w:contextualSpacing/>
    </w:pPr>
    <w:rPr>
      <w:szCs w:val="24"/>
    </w:rPr>
  </w:style>
  <w:style w:type="character" w:styleId="Strong">
    <w:name w:val="Strong"/>
    <w:basedOn w:val="DefaultParagraphFont"/>
    <w:uiPriority w:val="22"/>
    <w:qFormat/>
    <w:rsid w:val="006F09A6"/>
    <w:rPr>
      <w:b/>
      <w:bCs/>
    </w:rPr>
  </w:style>
  <w:style w:type="paragraph" w:styleId="BalloonText">
    <w:name w:val="Balloon Text"/>
    <w:basedOn w:val="Normal"/>
    <w:link w:val="BalloonTextChar"/>
    <w:uiPriority w:val="99"/>
    <w:semiHidden/>
    <w:unhideWhenUsed/>
    <w:rsid w:val="00AB3F1E"/>
    <w:rPr>
      <w:rFonts w:ascii="Tahoma" w:hAnsi="Tahoma" w:cs="Tahoma"/>
      <w:sz w:val="16"/>
      <w:szCs w:val="16"/>
    </w:rPr>
  </w:style>
  <w:style w:type="character" w:customStyle="1" w:styleId="BalloonTextChar">
    <w:name w:val="Balloon Text Char"/>
    <w:basedOn w:val="DefaultParagraphFont"/>
    <w:link w:val="BalloonText"/>
    <w:uiPriority w:val="99"/>
    <w:semiHidden/>
    <w:rsid w:val="00AB3F1E"/>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9F6564"/>
    <w:rPr>
      <w:sz w:val="16"/>
      <w:szCs w:val="16"/>
    </w:rPr>
  </w:style>
  <w:style w:type="paragraph" w:styleId="CommentText">
    <w:name w:val="annotation text"/>
    <w:basedOn w:val="Normal"/>
    <w:link w:val="CommentTextChar"/>
    <w:uiPriority w:val="99"/>
    <w:semiHidden/>
    <w:unhideWhenUsed/>
    <w:rsid w:val="009F6564"/>
    <w:rPr>
      <w:sz w:val="20"/>
    </w:rPr>
  </w:style>
  <w:style w:type="character" w:customStyle="1" w:styleId="CommentTextChar">
    <w:name w:val="Comment Text Char"/>
    <w:basedOn w:val="DefaultParagraphFont"/>
    <w:link w:val="CommentText"/>
    <w:uiPriority w:val="99"/>
    <w:semiHidden/>
    <w:rsid w:val="009F656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F6564"/>
    <w:rPr>
      <w:b/>
      <w:bCs/>
    </w:rPr>
  </w:style>
  <w:style w:type="character" w:customStyle="1" w:styleId="CommentSubjectChar">
    <w:name w:val="Comment Subject Char"/>
    <w:basedOn w:val="CommentTextChar"/>
    <w:link w:val="CommentSubject"/>
    <w:uiPriority w:val="99"/>
    <w:semiHidden/>
    <w:rsid w:val="009F6564"/>
    <w:rPr>
      <w:rFonts w:ascii="Arial" w:eastAsia="Times New Roman" w:hAnsi="Arial" w:cs="Times New Roman"/>
      <w:b/>
      <w:bCs/>
      <w:sz w:val="20"/>
      <w:szCs w:val="20"/>
      <w:lang w:eastAsia="en-GB"/>
    </w:rPr>
  </w:style>
  <w:style w:type="character" w:styleId="FollowedHyperlink">
    <w:name w:val="FollowedHyperlink"/>
    <w:basedOn w:val="DefaultParagraphFont"/>
    <w:uiPriority w:val="99"/>
    <w:semiHidden/>
    <w:unhideWhenUsed/>
    <w:rsid w:val="00565247"/>
    <w:rPr>
      <w:color w:val="800080" w:themeColor="followedHyperlink"/>
      <w:u w:val="single"/>
    </w:rPr>
  </w:style>
  <w:style w:type="paragraph" w:customStyle="1" w:styleId="Default">
    <w:name w:val="Default"/>
    <w:rsid w:val="00530DA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9A6"/>
    <w:pPr>
      <w:spacing w:after="0" w:line="240" w:lineRule="auto"/>
    </w:pPr>
    <w:rPr>
      <w:rFonts w:ascii="Arial" w:eastAsia="Times New Roman" w:hAnsi="Arial" w:cs="Times New Roman"/>
      <w:sz w:val="24"/>
      <w:szCs w:val="20"/>
      <w:lang w:eastAsia="en-GB"/>
    </w:rPr>
  </w:style>
  <w:style w:type="paragraph" w:styleId="Heading3">
    <w:name w:val="heading 3"/>
    <w:basedOn w:val="Normal"/>
    <w:next w:val="Normal"/>
    <w:link w:val="Heading3Char"/>
    <w:qFormat/>
    <w:rsid w:val="006F09A6"/>
    <w:pPr>
      <w:keepNext/>
      <w:outlineLvl w:val="2"/>
    </w:pPr>
    <w:rPr>
      <w:b/>
      <w:i/>
      <w:snapToGrid w:val="0"/>
      <w:sz w:val="28"/>
      <w:u w:val="single"/>
      <w:lang w:eastAsia="en-US"/>
    </w:rPr>
  </w:style>
  <w:style w:type="paragraph" w:styleId="Heading4">
    <w:name w:val="heading 4"/>
    <w:basedOn w:val="Normal"/>
    <w:next w:val="Normal"/>
    <w:link w:val="Heading4Char"/>
    <w:qFormat/>
    <w:rsid w:val="006F09A6"/>
    <w:pPr>
      <w:keepNext/>
      <w:outlineLvl w:val="3"/>
    </w:pPr>
    <w:rPr>
      <w:b/>
      <w:snapToGrid w:val="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F09A6"/>
    <w:rPr>
      <w:rFonts w:ascii="Arial" w:eastAsia="Times New Roman" w:hAnsi="Arial" w:cs="Times New Roman"/>
      <w:b/>
      <w:i/>
      <w:snapToGrid w:val="0"/>
      <w:sz w:val="28"/>
      <w:szCs w:val="20"/>
      <w:u w:val="single"/>
    </w:rPr>
  </w:style>
  <w:style w:type="character" w:customStyle="1" w:styleId="Heading4Char">
    <w:name w:val="Heading 4 Char"/>
    <w:basedOn w:val="DefaultParagraphFont"/>
    <w:link w:val="Heading4"/>
    <w:rsid w:val="006F09A6"/>
    <w:rPr>
      <w:rFonts w:ascii="Arial" w:eastAsia="Times New Roman" w:hAnsi="Arial" w:cs="Times New Roman"/>
      <w:b/>
      <w:snapToGrid w:val="0"/>
      <w:sz w:val="24"/>
      <w:szCs w:val="20"/>
      <w:u w:val="single"/>
    </w:rPr>
  </w:style>
  <w:style w:type="paragraph" w:styleId="Header">
    <w:name w:val="header"/>
    <w:basedOn w:val="Normal"/>
    <w:link w:val="HeaderChar"/>
    <w:rsid w:val="006F09A6"/>
  </w:style>
  <w:style w:type="character" w:customStyle="1" w:styleId="HeaderChar">
    <w:name w:val="Header Char"/>
    <w:basedOn w:val="DefaultParagraphFont"/>
    <w:link w:val="Header"/>
    <w:rsid w:val="006F09A6"/>
    <w:rPr>
      <w:rFonts w:ascii="Arial" w:eastAsia="Times New Roman" w:hAnsi="Arial" w:cs="Times New Roman"/>
      <w:sz w:val="24"/>
      <w:szCs w:val="20"/>
      <w:lang w:eastAsia="en-GB"/>
    </w:rPr>
  </w:style>
  <w:style w:type="paragraph" w:styleId="BodyTextIndent3">
    <w:name w:val="Body Text Indent 3"/>
    <w:basedOn w:val="Normal"/>
    <w:link w:val="BodyTextIndent3Char"/>
    <w:rsid w:val="006F09A6"/>
    <w:pPr>
      <w:tabs>
        <w:tab w:val="left" w:pos="360"/>
      </w:tabs>
      <w:ind w:left="360"/>
    </w:pPr>
  </w:style>
  <w:style w:type="character" w:customStyle="1" w:styleId="BodyTextIndent3Char">
    <w:name w:val="Body Text Indent 3 Char"/>
    <w:basedOn w:val="DefaultParagraphFont"/>
    <w:link w:val="BodyTextIndent3"/>
    <w:rsid w:val="006F09A6"/>
    <w:rPr>
      <w:rFonts w:ascii="Arial" w:eastAsia="Times New Roman" w:hAnsi="Arial" w:cs="Times New Roman"/>
      <w:sz w:val="24"/>
      <w:szCs w:val="20"/>
      <w:lang w:eastAsia="en-GB"/>
    </w:rPr>
  </w:style>
  <w:style w:type="character" w:styleId="Hyperlink">
    <w:name w:val="Hyperlink"/>
    <w:basedOn w:val="DefaultParagraphFont"/>
    <w:uiPriority w:val="99"/>
    <w:rsid w:val="006F09A6"/>
    <w:rPr>
      <w:color w:val="0000FF"/>
      <w:u w:val="single"/>
    </w:rPr>
  </w:style>
  <w:style w:type="paragraph" w:styleId="BodyText">
    <w:name w:val="Body Text"/>
    <w:basedOn w:val="Normal"/>
    <w:link w:val="BodyTextChar"/>
    <w:uiPriority w:val="99"/>
    <w:rsid w:val="006F09A6"/>
    <w:rPr>
      <w:b/>
    </w:rPr>
  </w:style>
  <w:style w:type="character" w:customStyle="1" w:styleId="BodyTextChar">
    <w:name w:val="Body Text Char"/>
    <w:basedOn w:val="DefaultParagraphFont"/>
    <w:link w:val="BodyText"/>
    <w:uiPriority w:val="99"/>
    <w:rsid w:val="006F09A6"/>
    <w:rPr>
      <w:rFonts w:ascii="Arial" w:eastAsia="Times New Roman" w:hAnsi="Arial" w:cs="Times New Roman"/>
      <w:b/>
      <w:sz w:val="24"/>
      <w:szCs w:val="20"/>
      <w:lang w:eastAsia="en-GB"/>
    </w:rPr>
  </w:style>
  <w:style w:type="paragraph" w:customStyle="1" w:styleId="Bullet4">
    <w:name w:val="Bullet 4"/>
    <w:basedOn w:val="Normal"/>
    <w:uiPriority w:val="99"/>
    <w:rsid w:val="006F09A6"/>
    <w:pPr>
      <w:numPr>
        <w:numId w:val="1"/>
      </w:numPr>
      <w:spacing w:after="240"/>
    </w:pPr>
    <w:rPr>
      <w:rFonts w:ascii="Times New Roman" w:hAnsi="Times New Roman"/>
    </w:rPr>
  </w:style>
  <w:style w:type="paragraph" w:styleId="ListParagraph">
    <w:name w:val="List Paragraph"/>
    <w:basedOn w:val="Normal"/>
    <w:uiPriority w:val="34"/>
    <w:qFormat/>
    <w:rsid w:val="006F09A6"/>
    <w:pPr>
      <w:ind w:left="720"/>
      <w:contextualSpacing/>
    </w:pPr>
    <w:rPr>
      <w:szCs w:val="24"/>
    </w:rPr>
  </w:style>
  <w:style w:type="character" w:styleId="Strong">
    <w:name w:val="Strong"/>
    <w:basedOn w:val="DefaultParagraphFont"/>
    <w:uiPriority w:val="22"/>
    <w:qFormat/>
    <w:rsid w:val="006F09A6"/>
    <w:rPr>
      <w:b/>
      <w:bCs/>
    </w:rPr>
  </w:style>
  <w:style w:type="paragraph" w:styleId="BalloonText">
    <w:name w:val="Balloon Text"/>
    <w:basedOn w:val="Normal"/>
    <w:link w:val="BalloonTextChar"/>
    <w:uiPriority w:val="99"/>
    <w:semiHidden/>
    <w:unhideWhenUsed/>
    <w:rsid w:val="00AB3F1E"/>
    <w:rPr>
      <w:rFonts w:ascii="Tahoma" w:hAnsi="Tahoma" w:cs="Tahoma"/>
      <w:sz w:val="16"/>
      <w:szCs w:val="16"/>
    </w:rPr>
  </w:style>
  <w:style w:type="character" w:customStyle="1" w:styleId="BalloonTextChar">
    <w:name w:val="Balloon Text Char"/>
    <w:basedOn w:val="DefaultParagraphFont"/>
    <w:link w:val="BalloonText"/>
    <w:uiPriority w:val="99"/>
    <w:semiHidden/>
    <w:rsid w:val="00AB3F1E"/>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9F6564"/>
    <w:rPr>
      <w:sz w:val="16"/>
      <w:szCs w:val="16"/>
    </w:rPr>
  </w:style>
  <w:style w:type="paragraph" w:styleId="CommentText">
    <w:name w:val="annotation text"/>
    <w:basedOn w:val="Normal"/>
    <w:link w:val="CommentTextChar"/>
    <w:uiPriority w:val="99"/>
    <w:semiHidden/>
    <w:unhideWhenUsed/>
    <w:rsid w:val="009F6564"/>
    <w:rPr>
      <w:sz w:val="20"/>
    </w:rPr>
  </w:style>
  <w:style w:type="character" w:customStyle="1" w:styleId="CommentTextChar">
    <w:name w:val="Comment Text Char"/>
    <w:basedOn w:val="DefaultParagraphFont"/>
    <w:link w:val="CommentText"/>
    <w:uiPriority w:val="99"/>
    <w:semiHidden/>
    <w:rsid w:val="009F656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F6564"/>
    <w:rPr>
      <w:b/>
      <w:bCs/>
    </w:rPr>
  </w:style>
  <w:style w:type="character" w:customStyle="1" w:styleId="CommentSubjectChar">
    <w:name w:val="Comment Subject Char"/>
    <w:basedOn w:val="CommentTextChar"/>
    <w:link w:val="CommentSubject"/>
    <w:uiPriority w:val="99"/>
    <w:semiHidden/>
    <w:rsid w:val="009F6564"/>
    <w:rPr>
      <w:rFonts w:ascii="Arial" w:eastAsia="Times New Roman" w:hAnsi="Arial" w:cs="Times New Roman"/>
      <w:b/>
      <w:bCs/>
      <w:sz w:val="20"/>
      <w:szCs w:val="20"/>
      <w:lang w:eastAsia="en-GB"/>
    </w:rPr>
  </w:style>
  <w:style w:type="character" w:styleId="FollowedHyperlink">
    <w:name w:val="FollowedHyperlink"/>
    <w:basedOn w:val="DefaultParagraphFont"/>
    <w:uiPriority w:val="99"/>
    <w:semiHidden/>
    <w:unhideWhenUsed/>
    <w:rsid w:val="00565247"/>
    <w:rPr>
      <w:color w:val="800080" w:themeColor="followedHyperlink"/>
      <w:u w:val="single"/>
    </w:rPr>
  </w:style>
  <w:style w:type="paragraph" w:customStyle="1" w:styleId="Default">
    <w:name w:val="Default"/>
    <w:rsid w:val="00530DA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rpensionservic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3162</Words>
  <Characters>18029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2012-11-02T09:59:00Z</cp:lastPrinted>
  <dcterms:created xsi:type="dcterms:W3CDTF">2012-11-15T15:12:00Z</dcterms:created>
  <dcterms:modified xsi:type="dcterms:W3CDTF">2012-11-15T15:17:00Z</dcterms:modified>
</cp:coreProperties>
</file>